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20" w:rsidRPr="000B262E" w:rsidRDefault="00077DBF">
      <w:pPr>
        <w:pStyle w:val="Title"/>
        <w:rPr>
          <w:rFonts w:asciiTheme="minorHAnsi" w:hAnsiTheme="minorHAnsi" w:cstheme="minorHAnsi"/>
        </w:rPr>
      </w:pPr>
      <w:r w:rsidRPr="000B262E">
        <w:rPr>
          <w:rFonts w:asciiTheme="minorHAnsi" w:hAnsiTheme="minorHAnsi" w:cstheme="minorHAnsi"/>
          <w:w w:val="80"/>
        </w:rPr>
        <w:t>OBRAZAC</w:t>
      </w:r>
      <w:r w:rsidRPr="000B262E">
        <w:rPr>
          <w:rFonts w:asciiTheme="minorHAnsi" w:hAnsiTheme="minorHAnsi" w:cstheme="minorHAnsi"/>
          <w:spacing w:val="-6"/>
        </w:rPr>
        <w:t xml:space="preserve"> </w:t>
      </w:r>
      <w:r w:rsidRPr="000B262E">
        <w:rPr>
          <w:rFonts w:asciiTheme="minorHAnsi" w:hAnsiTheme="minorHAnsi" w:cstheme="minorHAnsi"/>
          <w:w w:val="80"/>
        </w:rPr>
        <w:t>ZA</w:t>
      </w:r>
      <w:r w:rsidRPr="000B262E">
        <w:rPr>
          <w:rFonts w:asciiTheme="minorHAnsi" w:hAnsiTheme="minorHAnsi" w:cstheme="minorHAnsi"/>
          <w:spacing w:val="-2"/>
        </w:rPr>
        <w:t xml:space="preserve"> </w:t>
      </w:r>
      <w:r w:rsidRPr="000B262E">
        <w:rPr>
          <w:rFonts w:asciiTheme="minorHAnsi" w:hAnsiTheme="minorHAnsi" w:cstheme="minorHAnsi"/>
          <w:w w:val="80"/>
        </w:rPr>
        <w:t>INFORMATIVNU</w:t>
      </w:r>
      <w:r w:rsidRPr="000B262E">
        <w:rPr>
          <w:rFonts w:asciiTheme="minorHAnsi" w:hAnsiTheme="minorHAnsi" w:cstheme="minorHAnsi"/>
          <w:spacing w:val="-4"/>
        </w:rPr>
        <w:t xml:space="preserve"> </w:t>
      </w:r>
      <w:r w:rsidRPr="000B262E">
        <w:rPr>
          <w:rFonts w:asciiTheme="minorHAnsi" w:hAnsiTheme="minorHAnsi" w:cstheme="minorHAnsi"/>
          <w:w w:val="80"/>
        </w:rPr>
        <w:t>CIJENU</w:t>
      </w:r>
      <w:r w:rsidRPr="000B262E">
        <w:rPr>
          <w:rFonts w:asciiTheme="minorHAnsi" w:hAnsiTheme="minorHAnsi" w:cstheme="minorHAnsi"/>
          <w:spacing w:val="-4"/>
        </w:rPr>
        <w:t xml:space="preserve"> </w:t>
      </w:r>
      <w:r w:rsidRPr="000B262E">
        <w:rPr>
          <w:rFonts w:asciiTheme="minorHAnsi" w:hAnsiTheme="minorHAnsi" w:cstheme="minorHAnsi"/>
          <w:spacing w:val="-2"/>
          <w:w w:val="80"/>
        </w:rPr>
        <w:t>USLUGA</w:t>
      </w:r>
    </w:p>
    <w:p w:rsidR="00331120" w:rsidRPr="000B262E" w:rsidRDefault="00331120">
      <w:pPr>
        <w:pStyle w:val="BodyText"/>
        <w:spacing w:before="201"/>
        <w:rPr>
          <w:rFonts w:asciiTheme="minorHAnsi" w:hAnsiTheme="minorHAnsi" w:cstheme="minorHAnsi"/>
          <w:sz w:val="24"/>
        </w:rPr>
      </w:pPr>
    </w:p>
    <w:p w:rsidR="00331120" w:rsidRPr="000B262E" w:rsidRDefault="00077DBF" w:rsidP="000B262E">
      <w:pPr>
        <w:pStyle w:val="BodyText"/>
        <w:tabs>
          <w:tab w:val="left" w:pos="5900"/>
        </w:tabs>
        <w:spacing w:line="352" w:lineRule="auto"/>
        <w:ind w:left="141" w:right="3737"/>
        <w:jc w:val="both"/>
        <w:rPr>
          <w:rFonts w:asciiTheme="minorHAnsi" w:hAnsiTheme="minorHAnsi" w:cstheme="minorHAnsi"/>
        </w:rPr>
      </w:pPr>
      <w:r w:rsidRPr="000B262E">
        <w:rPr>
          <w:rFonts w:asciiTheme="minorHAnsi" w:hAnsiTheme="minorHAnsi" w:cstheme="minorHAnsi"/>
          <w:w w:val="90"/>
        </w:rPr>
        <w:t>NAZIV</w:t>
      </w:r>
      <w:r w:rsidRPr="000B262E">
        <w:rPr>
          <w:rFonts w:asciiTheme="minorHAnsi" w:hAnsiTheme="minorHAnsi" w:cstheme="minorHAnsi"/>
          <w:spacing w:val="-11"/>
          <w:w w:val="90"/>
        </w:rPr>
        <w:t xml:space="preserve"> </w:t>
      </w:r>
      <w:r w:rsidRPr="000B262E">
        <w:rPr>
          <w:rFonts w:asciiTheme="minorHAnsi" w:hAnsiTheme="minorHAnsi" w:cstheme="minorHAnsi"/>
          <w:w w:val="90"/>
        </w:rPr>
        <w:t>PONUĐAČA:</w:t>
      </w:r>
      <w:r w:rsidRPr="000B262E">
        <w:rPr>
          <w:rFonts w:asciiTheme="minorHAnsi" w:hAnsiTheme="minorHAnsi" w:cstheme="minorHAnsi"/>
          <w:b w:val="0"/>
          <w:u w:val="single"/>
        </w:rPr>
        <w:tab/>
      </w:r>
      <w:r w:rsidRPr="000B262E">
        <w:rPr>
          <w:rFonts w:asciiTheme="minorHAnsi" w:hAnsiTheme="minorHAnsi" w:cstheme="minorHAnsi"/>
          <w:b w:val="0"/>
        </w:rPr>
        <w:t xml:space="preserve"> </w:t>
      </w:r>
      <w:r w:rsidRPr="000B262E">
        <w:rPr>
          <w:rFonts w:asciiTheme="minorHAnsi" w:hAnsiTheme="minorHAnsi" w:cstheme="minorHAnsi"/>
          <w:spacing w:val="-2"/>
          <w:w w:val="90"/>
        </w:rPr>
        <w:t>ADRESA:</w:t>
      </w:r>
      <w:r w:rsidRPr="000B262E">
        <w:rPr>
          <w:rFonts w:asciiTheme="minorHAnsi" w:hAnsiTheme="minorHAnsi" w:cstheme="minorHAnsi"/>
          <w:u w:val="single"/>
        </w:rPr>
        <w:tab/>
      </w:r>
      <w:r w:rsidRPr="000B262E">
        <w:rPr>
          <w:rFonts w:asciiTheme="minorHAnsi" w:hAnsiTheme="minorHAnsi" w:cstheme="minorHAnsi"/>
        </w:rPr>
        <w:t xml:space="preserve"> </w:t>
      </w:r>
      <w:r w:rsidRPr="000B262E">
        <w:rPr>
          <w:rFonts w:asciiTheme="minorHAnsi" w:hAnsiTheme="minorHAnsi" w:cstheme="minorHAnsi"/>
          <w:w w:val="90"/>
        </w:rPr>
        <w:t>BROJ INFORMATIVNE PONUDE:</w:t>
      </w:r>
      <w:r w:rsidRPr="000B262E">
        <w:rPr>
          <w:rFonts w:asciiTheme="minorHAnsi" w:hAnsiTheme="minorHAnsi" w:cstheme="minorHAnsi"/>
          <w:spacing w:val="-11"/>
          <w:w w:val="90"/>
        </w:rPr>
        <w:t xml:space="preserve"> </w:t>
      </w:r>
      <w:r w:rsidRPr="000B262E">
        <w:rPr>
          <w:rFonts w:asciiTheme="minorHAnsi" w:hAnsiTheme="minorHAnsi" w:cstheme="minorHAnsi"/>
          <w:u w:val="single"/>
        </w:rPr>
        <w:tab/>
      </w:r>
      <w:r w:rsidRPr="000B262E">
        <w:rPr>
          <w:rFonts w:asciiTheme="minorHAnsi" w:hAnsiTheme="minorHAnsi" w:cstheme="minorHAnsi"/>
        </w:rPr>
        <w:t xml:space="preserve"> </w:t>
      </w:r>
      <w:r w:rsidRPr="000B262E">
        <w:rPr>
          <w:rFonts w:asciiTheme="minorHAnsi" w:hAnsiTheme="minorHAnsi" w:cstheme="minorHAnsi"/>
          <w:w w:val="80"/>
        </w:rPr>
        <w:t>MJESTO</w:t>
      </w:r>
      <w:r w:rsidRPr="000B262E">
        <w:rPr>
          <w:rFonts w:asciiTheme="minorHAnsi" w:hAnsiTheme="minorHAnsi" w:cstheme="minorHAnsi"/>
          <w:spacing w:val="-3"/>
        </w:rPr>
        <w:t xml:space="preserve"> </w:t>
      </w:r>
      <w:r w:rsidRPr="000B262E">
        <w:rPr>
          <w:rFonts w:asciiTheme="minorHAnsi" w:hAnsiTheme="minorHAnsi" w:cstheme="minorHAnsi"/>
          <w:w w:val="80"/>
        </w:rPr>
        <w:t>I</w:t>
      </w:r>
      <w:r w:rsidRPr="000B262E">
        <w:rPr>
          <w:rFonts w:asciiTheme="minorHAnsi" w:hAnsiTheme="minorHAnsi" w:cstheme="minorHAnsi"/>
          <w:spacing w:val="-12"/>
        </w:rPr>
        <w:t xml:space="preserve"> </w:t>
      </w:r>
      <w:r w:rsidRPr="000B262E">
        <w:rPr>
          <w:rFonts w:asciiTheme="minorHAnsi" w:hAnsiTheme="minorHAnsi" w:cstheme="minorHAnsi"/>
          <w:spacing w:val="-2"/>
          <w:w w:val="80"/>
        </w:rPr>
        <w:t>DATUM:</w:t>
      </w:r>
      <w:r w:rsidRPr="000B262E">
        <w:rPr>
          <w:rFonts w:asciiTheme="minorHAnsi" w:hAnsiTheme="minorHAnsi" w:cstheme="minorHAnsi"/>
          <w:u w:val="single"/>
        </w:rPr>
        <w:tab/>
      </w:r>
    </w:p>
    <w:p w:rsidR="00331120" w:rsidRPr="000B262E" w:rsidRDefault="00077DBF">
      <w:pPr>
        <w:pStyle w:val="BodyText"/>
        <w:ind w:left="25" w:right="286"/>
        <w:jc w:val="center"/>
        <w:rPr>
          <w:rFonts w:asciiTheme="minorHAnsi" w:hAnsiTheme="minorHAnsi" w:cstheme="minorHAnsi"/>
        </w:rPr>
      </w:pPr>
      <w:r w:rsidRPr="000B262E">
        <w:rPr>
          <w:rFonts w:asciiTheme="minorHAnsi" w:hAnsiTheme="minorHAnsi" w:cstheme="minorHAnsi"/>
          <w:w w:val="80"/>
          <w:u w:val="single"/>
        </w:rPr>
        <w:t>TEHNIČKA</w:t>
      </w:r>
      <w:r w:rsidRPr="000B262E">
        <w:rPr>
          <w:rFonts w:asciiTheme="minorHAnsi" w:hAnsiTheme="minorHAnsi" w:cstheme="minorHAnsi"/>
          <w:u w:val="single"/>
        </w:rPr>
        <w:t xml:space="preserve"> </w:t>
      </w:r>
      <w:r w:rsidRPr="000B262E">
        <w:rPr>
          <w:rFonts w:asciiTheme="minorHAnsi" w:hAnsiTheme="minorHAnsi" w:cstheme="minorHAnsi"/>
          <w:spacing w:val="-2"/>
          <w:w w:val="90"/>
          <w:u w:val="single"/>
        </w:rPr>
        <w:t>SPECIFIKACIJA</w:t>
      </w:r>
    </w:p>
    <w:p w:rsidR="00331120" w:rsidRPr="000B262E" w:rsidRDefault="00331120">
      <w:pPr>
        <w:pStyle w:val="BodyText"/>
        <w:spacing w:before="124"/>
        <w:rPr>
          <w:rFonts w:asciiTheme="minorHAnsi" w:hAnsiTheme="minorHAnsi" w:cstheme="minorHAnsi"/>
        </w:rPr>
      </w:pPr>
    </w:p>
    <w:p w:rsidR="00331120" w:rsidRPr="000B262E" w:rsidRDefault="00077DBF">
      <w:pPr>
        <w:pStyle w:val="BodyText"/>
        <w:ind w:left="141"/>
        <w:rPr>
          <w:rFonts w:asciiTheme="minorHAnsi" w:hAnsiTheme="minorHAnsi" w:cstheme="minorHAnsi"/>
        </w:rPr>
      </w:pPr>
      <w:r w:rsidRPr="000B262E">
        <w:rPr>
          <w:rFonts w:asciiTheme="minorHAnsi" w:hAnsiTheme="minorHAnsi" w:cstheme="minorHAnsi"/>
          <w:w w:val="80"/>
        </w:rPr>
        <w:t>USLUGE</w:t>
      </w:r>
      <w:r w:rsidRPr="000B262E">
        <w:rPr>
          <w:rFonts w:asciiTheme="minorHAnsi" w:hAnsiTheme="minorHAnsi" w:cstheme="minorHAnsi"/>
          <w:spacing w:val="11"/>
        </w:rPr>
        <w:t xml:space="preserve"> </w:t>
      </w:r>
      <w:r w:rsidR="000B262E" w:rsidRPr="000B262E">
        <w:rPr>
          <w:rFonts w:asciiTheme="minorHAnsi" w:hAnsiTheme="minorHAnsi" w:cstheme="minorHAnsi"/>
          <w:w w:val="80"/>
        </w:rPr>
        <w:t>ISTRAŽIVANJA TLA</w:t>
      </w:r>
    </w:p>
    <w:p w:rsidR="00331120" w:rsidRPr="000B262E" w:rsidRDefault="00331120">
      <w:pPr>
        <w:pStyle w:val="BodyText"/>
        <w:spacing w:before="60"/>
        <w:rPr>
          <w:rFonts w:asciiTheme="minorHAnsi" w:hAnsiTheme="minorHAnsi" w:cstheme="minorHAnsi"/>
          <w:sz w:val="20"/>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293"/>
        <w:gridCol w:w="1171"/>
        <w:gridCol w:w="1366"/>
        <w:gridCol w:w="1307"/>
      </w:tblGrid>
      <w:tr w:rsidR="000B262E" w:rsidRPr="000B262E" w:rsidTr="00804138">
        <w:trPr>
          <w:cantSplit/>
          <w:trHeight w:val="1187"/>
        </w:trPr>
        <w:tc>
          <w:tcPr>
            <w:tcW w:w="343" w:type="pct"/>
            <w:tcBorders>
              <w:top w:val="single" w:sz="12" w:space="0" w:color="auto"/>
              <w:left w:val="single" w:sz="12" w:space="0" w:color="auto"/>
              <w:bottom w:val="single" w:sz="12" w:space="0" w:color="auto"/>
              <w:right w:val="single" w:sz="12" w:space="0" w:color="auto"/>
            </w:tcBorders>
            <w:shd w:val="clear" w:color="auto" w:fill="F2F2F2"/>
            <w:textDirection w:val="btLr"/>
            <w:vAlign w:val="center"/>
          </w:tcPr>
          <w:p w:rsidR="000B262E" w:rsidRPr="000B262E" w:rsidRDefault="000B262E" w:rsidP="00804138">
            <w:pPr>
              <w:ind w:left="113" w:right="113"/>
              <w:jc w:val="center"/>
              <w:rPr>
                <w:rFonts w:asciiTheme="minorHAnsi" w:hAnsiTheme="minorHAnsi" w:cstheme="minorHAnsi"/>
                <w:b/>
                <w:sz w:val="20"/>
                <w:szCs w:val="20"/>
                <w:lang w:val="bs-Latn-BA"/>
              </w:rPr>
            </w:pPr>
            <w:r w:rsidRPr="000B262E">
              <w:rPr>
                <w:rFonts w:asciiTheme="minorHAnsi" w:hAnsiTheme="minorHAnsi" w:cstheme="minorHAnsi"/>
                <w:b/>
                <w:sz w:val="20"/>
                <w:szCs w:val="20"/>
                <w:lang w:val="bs-Latn-BA"/>
              </w:rPr>
              <w:t>Red. br.</w:t>
            </w:r>
          </w:p>
        </w:tc>
        <w:tc>
          <w:tcPr>
            <w:tcW w:w="2698" w:type="pct"/>
            <w:tcBorders>
              <w:top w:val="single" w:sz="12" w:space="0" w:color="auto"/>
              <w:left w:val="single" w:sz="12" w:space="0" w:color="auto"/>
              <w:bottom w:val="single" w:sz="12" w:space="0" w:color="auto"/>
              <w:right w:val="single" w:sz="12" w:space="0" w:color="auto"/>
            </w:tcBorders>
            <w:shd w:val="clear" w:color="auto" w:fill="F2F2F2"/>
            <w:vAlign w:val="center"/>
          </w:tcPr>
          <w:p w:rsidR="000B262E" w:rsidRPr="000B262E" w:rsidRDefault="000B262E" w:rsidP="00804138">
            <w:pPr>
              <w:pStyle w:val="NoSpacing"/>
              <w:jc w:val="center"/>
              <w:rPr>
                <w:rFonts w:asciiTheme="minorHAnsi" w:hAnsiTheme="minorHAnsi" w:cstheme="minorHAnsi"/>
                <w:b/>
                <w:sz w:val="16"/>
                <w:szCs w:val="16"/>
                <w:lang w:val="bs-Latn-BA"/>
              </w:rPr>
            </w:pPr>
          </w:p>
          <w:p w:rsidR="000B262E" w:rsidRPr="000B262E" w:rsidRDefault="000B262E" w:rsidP="00804138">
            <w:pPr>
              <w:jc w:val="center"/>
              <w:rPr>
                <w:rFonts w:asciiTheme="minorHAnsi" w:hAnsiTheme="minorHAnsi" w:cstheme="minorHAnsi"/>
                <w:b/>
                <w:sz w:val="20"/>
                <w:szCs w:val="20"/>
                <w:lang w:val="bs-Latn-BA"/>
              </w:rPr>
            </w:pPr>
            <w:r w:rsidRPr="000B262E">
              <w:rPr>
                <w:rFonts w:asciiTheme="minorHAnsi" w:hAnsiTheme="minorHAnsi" w:cstheme="minorHAnsi"/>
                <w:b/>
                <w:sz w:val="20"/>
                <w:szCs w:val="20"/>
                <w:lang w:val="bs-Latn-BA"/>
              </w:rPr>
              <w:t>Opis usluga</w:t>
            </w:r>
          </w:p>
        </w:tc>
        <w:tc>
          <w:tcPr>
            <w:tcW w:w="597" w:type="pct"/>
            <w:tcBorders>
              <w:top w:val="single" w:sz="12" w:space="0" w:color="auto"/>
              <w:left w:val="single" w:sz="12" w:space="0" w:color="auto"/>
              <w:bottom w:val="single" w:sz="12" w:space="0" w:color="auto"/>
              <w:right w:val="single" w:sz="12" w:space="0" w:color="auto"/>
            </w:tcBorders>
            <w:shd w:val="clear" w:color="auto" w:fill="F2F2F2"/>
            <w:vAlign w:val="center"/>
          </w:tcPr>
          <w:p w:rsidR="000B262E" w:rsidRPr="000B262E" w:rsidRDefault="000B262E" w:rsidP="00804138">
            <w:pPr>
              <w:jc w:val="center"/>
              <w:rPr>
                <w:rFonts w:asciiTheme="minorHAnsi" w:hAnsiTheme="minorHAnsi" w:cstheme="minorHAnsi"/>
                <w:b/>
                <w:sz w:val="20"/>
                <w:szCs w:val="20"/>
                <w:lang w:val="bs-Latn-BA"/>
              </w:rPr>
            </w:pPr>
            <w:r w:rsidRPr="000B262E">
              <w:rPr>
                <w:rFonts w:asciiTheme="minorHAnsi" w:hAnsiTheme="minorHAnsi" w:cstheme="minorHAnsi"/>
                <w:b/>
                <w:sz w:val="20"/>
                <w:szCs w:val="20"/>
                <w:lang w:val="bs-Latn-BA"/>
              </w:rPr>
              <w:t>Količina i jedinica mjere</w:t>
            </w:r>
          </w:p>
        </w:tc>
        <w:tc>
          <w:tcPr>
            <w:tcW w:w="696" w:type="pct"/>
            <w:tcBorders>
              <w:top w:val="single" w:sz="12" w:space="0" w:color="auto"/>
              <w:left w:val="single" w:sz="12" w:space="0" w:color="auto"/>
              <w:bottom w:val="single" w:sz="12" w:space="0" w:color="auto"/>
              <w:right w:val="single" w:sz="12" w:space="0" w:color="auto"/>
            </w:tcBorders>
            <w:shd w:val="clear" w:color="auto" w:fill="F2F2F2"/>
            <w:vAlign w:val="center"/>
          </w:tcPr>
          <w:p w:rsidR="000B262E" w:rsidRPr="000B262E" w:rsidRDefault="000B262E" w:rsidP="00804138">
            <w:pPr>
              <w:jc w:val="center"/>
              <w:rPr>
                <w:rFonts w:asciiTheme="minorHAnsi" w:hAnsiTheme="minorHAnsi" w:cstheme="minorHAnsi"/>
                <w:b/>
                <w:sz w:val="20"/>
                <w:szCs w:val="20"/>
                <w:lang w:val="bs-Latn-BA"/>
              </w:rPr>
            </w:pPr>
            <w:r w:rsidRPr="000B262E">
              <w:rPr>
                <w:rFonts w:asciiTheme="minorHAnsi" w:hAnsiTheme="minorHAnsi" w:cstheme="minorHAnsi"/>
                <w:b/>
                <w:sz w:val="20"/>
                <w:szCs w:val="20"/>
                <w:lang w:val="bs-Latn-BA"/>
              </w:rPr>
              <w:t>Jedinična cijena</w:t>
            </w:r>
          </w:p>
          <w:p w:rsidR="000B262E" w:rsidRPr="000B262E" w:rsidRDefault="000B262E" w:rsidP="00804138">
            <w:pPr>
              <w:jc w:val="center"/>
              <w:rPr>
                <w:rFonts w:asciiTheme="minorHAnsi" w:hAnsiTheme="minorHAnsi" w:cstheme="minorHAnsi"/>
                <w:b/>
                <w:sz w:val="20"/>
                <w:szCs w:val="20"/>
                <w:lang w:val="bs-Latn-BA"/>
              </w:rPr>
            </w:pPr>
            <w:r w:rsidRPr="000B262E">
              <w:rPr>
                <w:rFonts w:asciiTheme="minorHAnsi" w:hAnsiTheme="minorHAnsi" w:cstheme="minorHAnsi"/>
                <w:b/>
                <w:sz w:val="20"/>
                <w:szCs w:val="20"/>
                <w:lang w:val="bs-Latn-BA"/>
              </w:rPr>
              <w:t>po stavki</w:t>
            </w:r>
          </w:p>
          <w:p w:rsidR="000B262E" w:rsidRPr="000B262E" w:rsidRDefault="000B262E" w:rsidP="00804138">
            <w:pPr>
              <w:jc w:val="center"/>
              <w:rPr>
                <w:rFonts w:asciiTheme="minorHAnsi" w:hAnsiTheme="minorHAnsi" w:cstheme="minorHAnsi"/>
                <w:b/>
                <w:sz w:val="20"/>
                <w:szCs w:val="20"/>
                <w:lang w:val="bs-Latn-BA"/>
              </w:rPr>
            </w:pPr>
            <w:r w:rsidRPr="000B262E">
              <w:rPr>
                <w:rFonts w:asciiTheme="minorHAnsi" w:hAnsiTheme="minorHAnsi" w:cstheme="minorHAnsi"/>
                <w:b/>
                <w:sz w:val="20"/>
                <w:szCs w:val="20"/>
                <w:lang w:val="bs-Latn-BA"/>
              </w:rPr>
              <w:t>bez PDV-a</w:t>
            </w:r>
          </w:p>
        </w:tc>
        <w:tc>
          <w:tcPr>
            <w:tcW w:w="666" w:type="pct"/>
            <w:tcBorders>
              <w:top w:val="single" w:sz="12" w:space="0" w:color="auto"/>
              <w:left w:val="single" w:sz="12" w:space="0" w:color="auto"/>
              <w:bottom w:val="single" w:sz="12" w:space="0" w:color="auto"/>
              <w:right w:val="single" w:sz="12" w:space="0" w:color="auto"/>
            </w:tcBorders>
            <w:shd w:val="clear" w:color="auto" w:fill="F2F2F2"/>
            <w:vAlign w:val="center"/>
          </w:tcPr>
          <w:p w:rsidR="000B262E" w:rsidRPr="000B262E" w:rsidRDefault="000B262E" w:rsidP="00804138">
            <w:pPr>
              <w:jc w:val="center"/>
              <w:rPr>
                <w:rFonts w:asciiTheme="minorHAnsi" w:hAnsiTheme="minorHAnsi" w:cstheme="minorHAnsi"/>
                <w:b/>
                <w:sz w:val="20"/>
                <w:szCs w:val="20"/>
                <w:lang w:val="bs-Latn-BA"/>
              </w:rPr>
            </w:pPr>
            <w:r w:rsidRPr="000B262E">
              <w:rPr>
                <w:rFonts w:asciiTheme="minorHAnsi" w:hAnsiTheme="minorHAnsi" w:cstheme="minorHAnsi"/>
                <w:b/>
                <w:sz w:val="20"/>
                <w:szCs w:val="20"/>
                <w:lang w:val="bs-Latn-BA"/>
              </w:rPr>
              <w:t>Ukupna cijena</w:t>
            </w:r>
          </w:p>
          <w:p w:rsidR="000B262E" w:rsidRPr="000B262E" w:rsidRDefault="000B262E" w:rsidP="00804138">
            <w:pPr>
              <w:jc w:val="center"/>
              <w:rPr>
                <w:rFonts w:asciiTheme="minorHAnsi" w:hAnsiTheme="minorHAnsi" w:cstheme="minorHAnsi"/>
                <w:b/>
                <w:sz w:val="20"/>
                <w:szCs w:val="20"/>
                <w:lang w:val="bs-Latn-BA"/>
              </w:rPr>
            </w:pPr>
            <w:r w:rsidRPr="000B262E">
              <w:rPr>
                <w:rFonts w:asciiTheme="minorHAnsi" w:hAnsiTheme="minorHAnsi" w:cstheme="minorHAnsi"/>
                <w:b/>
                <w:sz w:val="20"/>
                <w:szCs w:val="20"/>
                <w:lang w:val="bs-Latn-BA"/>
              </w:rPr>
              <w:t>po stavki</w:t>
            </w:r>
          </w:p>
          <w:p w:rsidR="000B262E" w:rsidRPr="000B262E" w:rsidRDefault="000B262E" w:rsidP="00804138">
            <w:pPr>
              <w:jc w:val="center"/>
              <w:rPr>
                <w:rFonts w:asciiTheme="minorHAnsi" w:hAnsiTheme="minorHAnsi" w:cstheme="minorHAnsi"/>
                <w:b/>
                <w:sz w:val="20"/>
                <w:szCs w:val="20"/>
                <w:lang w:val="bs-Latn-BA"/>
              </w:rPr>
            </w:pPr>
            <w:r w:rsidRPr="000B262E">
              <w:rPr>
                <w:rFonts w:asciiTheme="minorHAnsi" w:hAnsiTheme="minorHAnsi" w:cstheme="minorHAnsi"/>
                <w:b/>
                <w:sz w:val="20"/>
                <w:szCs w:val="20"/>
                <w:lang w:val="bs-Latn-BA"/>
              </w:rPr>
              <w:t>bez PDV-a</w:t>
            </w:r>
          </w:p>
        </w:tc>
      </w:tr>
      <w:tr w:rsidR="000B262E" w:rsidRPr="000B262E" w:rsidTr="00804138">
        <w:tc>
          <w:tcPr>
            <w:tcW w:w="343" w:type="pct"/>
            <w:tcBorders>
              <w:top w:val="nil"/>
              <w:left w:val="single" w:sz="8" w:space="0" w:color="auto"/>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eastAsia="bs-Latn-BA"/>
              </w:rPr>
            </w:pPr>
            <w:r w:rsidRPr="000B262E">
              <w:rPr>
                <w:rFonts w:asciiTheme="minorHAnsi" w:hAnsiTheme="minorHAnsi" w:cstheme="minorHAnsi"/>
                <w:sz w:val="20"/>
                <w:szCs w:val="20"/>
                <w:lang w:val="bs-Latn-BA"/>
              </w:rPr>
              <w:t>1</w:t>
            </w:r>
          </w:p>
        </w:tc>
        <w:tc>
          <w:tcPr>
            <w:tcW w:w="2698"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r w:rsidRPr="000B262E">
              <w:rPr>
                <w:rFonts w:asciiTheme="minorHAnsi" w:hAnsiTheme="minorHAnsi" w:cstheme="minorHAnsi"/>
                <w:sz w:val="20"/>
                <w:szCs w:val="20"/>
                <w:lang w:val="bs-Latn-BA"/>
              </w:rPr>
              <w:t>Izvođenje istražne bušotine u tlu i stijeni dubine do max. 30 m: Bušenje treba izvršiti mašinskim uređajem za jezgrovanje. Jezgro se odlaže u odgovarajuće sanduke i fotografiše, te čuva dok se ne izvrši fotografisanje i snimanje jezgre od strane Ugovornog organa. Prečnik bušotine u materijalima tla treba da iznosi minimalno 116 mm, a u stijeni minimalno 86 mm. Ukoliko je potrebno, da ne bi došlo do urušavanja bušotine, izvršit će se zacjevljenje iste. Ako je potrebno da se kod bušenja dodaje voda onda treba primijeniti bušenje sa vodom.</w:t>
            </w:r>
          </w:p>
          <w:p w:rsidR="000B262E" w:rsidRPr="000B262E" w:rsidRDefault="000B262E" w:rsidP="00804138">
            <w:pPr>
              <w:rPr>
                <w:rFonts w:asciiTheme="minorHAnsi" w:hAnsiTheme="minorHAnsi" w:cstheme="minorHAnsi"/>
                <w:sz w:val="20"/>
                <w:szCs w:val="20"/>
                <w:lang w:val="bs-Latn-BA"/>
              </w:rPr>
            </w:pPr>
            <w:r w:rsidRPr="000B262E">
              <w:rPr>
                <w:rFonts w:asciiTheme="minorHAnsi" w:hAnsiTheme="minorHAnsi" w:cstheme="minorHAnsi"/>
                <w:sz w:val="20"/>
                <w:szCs w:val="20"/>
                <w:lang w:val="bs-Latn-BA"/>
              </w:rPr>
              <w:t xml:space="preserve">Obračun po m' izvedene bušotine. Cijenom obuhvatiti troškove transporta i sve ostale prateće troškove. </w:t>
            </w:r>
          </w:p>
        </w:tc>
        <w:tc>
          <w:tcPr>
            <w:tcW w:w="597" w:type="pct"/>
            <w:tcBorders>
              <w:top w:val="single" w:sz="12" w:space="0" w:color="auto"/>
              <w:left w:val="nil"/>
              <w:bottom w:val="single" w:sz="2"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60 m'</w:t>
            </w:r>
          </w:p>
        </w:tc>
        <w:tc>
          <w:tcPr>
            <w:tcW w:w="696" w:type="pct"/>
            <w:tcBorders>
              <w:top w:val="single" w:sz="12" w:space="0" w:color="auto"/>
              <w:bottom w:val="single" w:sz="2"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p>
        </w:tc>
        <w:tc>
          <w:tcPr>
            <w:tcW w:w="666" w:type="pct"/>
            <w:tcBorders>
              <w:top w:val="single" w:sz="12" w:space="0" w:color="auto"/>
              <w:bottom w:val="single" w:sz="2"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r w:rsidR="000B262E" w:rsidRPr="000B262E" w:rsidTr="00804138">
        <w:tc>
          <w:tcPr>
            <w:tcW w:w="343" w:type="pct"/>
            <w:tcBorders>
              <w:top w:val="nil"/>
              <w:left w:val="single" w:sz="8" w:space="0" w:color="auto"/>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2</w:t>
            </w:r>
          </w:p>
        </w:tc>
        <w:tc>
          <w:tcPr>
            <w:tcW w:w="2698"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r w:rsidRPr="000B262E">
              <w:rPr>
                <w:rFonts w:asciiTheme="minorHAnsi" w:hAnsiTheme="minorHAnsi" w:cstheme="minorHAnsi"/>
                <w:sz w:val="20"/>
                <w:szCs w:val="20"/>
                <w:lang w:val="bs-Latn-BA"/>
              </w:rPr>
              <w:t>Izvođenje istražnih raskopa dubine do 5 m. Raskop zatrpati nakon što Ugovorni organ izvrši fotografisanje.</w:t>
            </w:r>
          </w:p>
          <w:p w:rsidR="000B262E" w:rsidRPr="000B262E" w:rsidRDefault="000B262E" w:rsidP="00804138">
            <w:pPr>
              <w:rPr>
                <w:rFonts w:asciiTheme="minorHAnsi" w:hAnsiTheme="minorHAnsi" w:cstheme="minorHAnsi"/>
                <w:sz w:val="20"/>
                <w:szCs w:val="20"/>
                <w:lang w:val="bs-Latn-BA"/>
              </w:rPr>
            </w:pPr>
            <w:r w:rsidRPr="000B262E">
              <w:rPr>
                <w:rFonts w:asciiTheme="minorHAnsi" w:hAnsiTheme="minorHAnsi" w:cstheme="minorHAnsi"/>
                <w:sz w:val="20"/>
                <w:szCs w:val="20"/>
                <w:lang w:val="bs-Latn-BA"/>
              </w:rPr>
              <w:t>Obračun po h rada mašine za izvođenje raskopa – rovkopača. Cijenom obuhvatiti troškove transporta i sve ostale prateće troškove.</w:t>
            </w:r>
          </w:p>
        </w:tc>
        <w:tc>
          <w:tcPr>
            <w:tcW w:w="597" w:type="pct"/>
            <w:tcBorders>
              <w:top w:val="single" w:sz="2" w:space="0" w:color="auto"/>
              <w:left w:val="nil"/>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10 h</w:t>
            </w:r>
          </w:p>
        </w:tc>
        <w:tc>
          <w:tcPr>
            <w:tcW w:w="696" w:type="pct"/>
            <w:tcBorders>
              <w:top w:val="single" w:sz="2" w:space="0" w:color="auto"/>
              <w:bottom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p>
        </w:tc>
        <w:tc>
          <w:tcPr>
            <w:tcW w:w="666" w:type="pct"/>
            <w:tcBorders>
              <w:top w:val="single" w:sz="2" w:space="0" w:color="auto"/>
              <w:bottom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r w:rsidR="000B262E" w:rsidRPr="000B262E" w:rsidTr="00804138">
        <w:tc>
          <w:tcPr>
            <w:tcW w:w="343" w:type="pct"/>
            <w:tcBorders>
              <w:top w:val="nil"/>
              <w:left w:val="single" w:sz="8" w:space="0" w:color="auto"/>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3</w:t>
            </w:r>
          </w:p>
        </w:tc>
        <w:tc>
          <w:tcPr>
            <w:tcW w:w="2698"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r w:rsidRPr="000B262E">
              <w:rPr>
                <w:rFonts w:asciiTheme="minorHAnsi" w:hAnsiTheme="minorHAnsi" w:cstheme="minorHAnsi"/>
                <w:sz w:val="20"/>
                <w:szCs w:val="20"/>
                <w:lang w:val="bs-Latn-BA"/>
              </w:rPr>
              <w:t xml:space="preserve">Izvođenje standardnih peneteracionih opita (SPT) u bušotinama prema BAS EN ISO 22476-3/A1:2012 Geotehničko istraživanje i ispitivanje -Terensko ispitivanje - Dio 3: Standardno penetracijsko ispitivanje. U svim, materijalima, osim u šljunku, primjenjuje se dvodijelni (rasklopni) cilindar (split barel). Jedino se u šljunku može primjenjivati konus. Za vrijeme izvođenja SPT opita vodi se odgovarajući dnevnik u kojem se upisuju dubine na kojima se izvodi SPT opit i broj udaraca standardne penetracije, a koji se dostavlja Ugovornom organu. </w:t>
            </w:r>
          </w:p>
          <w:p w:rsidR="000B262E" w:rsidRPr="000B262E" w:rsidRDefault="000B262E" w:rsidP="00804138">
            <w:pPr>
              <w:rPr>
                <w:rFonts w:asciiTheme="minorHAnsi" w:hAnsiTheme="minorHAnsi" w:cstheme="minorHAnsi"/>
                <w:sz w:val="20"/>
                <w:szCs w:val="20"/>
                <w:lang w:val="bs-Latn-BA"/>
              </w:rPr>
            </w:pPr>
            <w:r w:rsidRPr="000B262E">
              <w:rPr>
                <w:rFonts w:asciiTheme="minorHAnsi" w:hAnsiTheme="minorHAnsi" w:cstheme="minorHAnsi"/>
                <w:sz w:val="20"/>
                <w:szCs w:val="20"/>
                <w:lang w:val="bs-Latn-BA"/>
              </w:rPr>
              <w:t xml:space="preserve">Obračun po izvedenom SPT opitu. </w:t>
            </w:r>
          </w:p>
        </w:tc>
        <w:tc>
          <w:tcPr>
            <w:tcW w:w="597"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30 kom</w:t>
            </w:r>
          </w:p>
        </w:tc>
        <w:tc>
          <w:tcPr>
            <w:tcW w:w="696" w:type="pct"/>
            <w:tcBorders>
              <w:top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p>
        </w:tc>
        <w:tc>
          <w:tcPr>
            <w:tcW w:w="666" w:type="pct"/>
            <w:tcBorders>
              <w:top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r w:rsidR="000B262E" w:rsidRPr="000B262E" w:rsidTr="00804138">
        <w:tc>
          <w:tcPr>
            <w:tcW w:w="343" w:type="pct"/>
            <w:tcBorders>
              <w:top w:val="nil"/>
              <w:left w:val="single" w:sz="8" w:space="0" w:color="auto"/>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4</w:t>
            </w:r>
          </w:p>
        </w:tc>
        <w:tc>
          <w:tcPr>
            <w:tcW w:w="2698"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r w:rsidRPr="000B262E">
              <w:rPr>
                <w:rFonts w:asciiTheme="minorHAnsi" w:hAnsiTheme="minorHAnsi" w:cstheme="minorHAnsi"/>
                <w:sz w:val="20"/>
                <w:szCs w:val="20"/>
                <w:lang w:val="bs-Latn-BA"/>
              </w:rPr>
              <w:t xml:space="preserve">Nabavka, transport i ugradnja inklinometarskih instalacija u postojeće bušotine; ugradnja inklinometarske cijevi s injektiranjem i ostalim pratećim radovima (zaptivanje dna cijevi, spajanje cijevi spojnicama i voštanom trakom, izrada kape inklinometra – betonski blok). Cijenom uključiti  izvođenje mjerenja, obradu rezultata mjerenja i dostavljanje izvještaja s rezultatima ispitivanja Ugovornom organu. </w:t>
            </w:r>
          </w:p>
          <w:p w:rsidR="000B262E" w:rsidRPr="000B262E" w:rsidRDefault="000B262E" w:rsidP="00804138">
            <w:pPr>
              <w:rPr>
                <w:rFonts w:asciiTheme="minorHAnsi" w:hAnsiTheme="minorHAnsi" w:cstheme="minorHAnsi"/>
                <w:sz w:val="20"/>
                <w:szCs w:val="20"/>
                <w:lang w:val="bs-Latn-BA"/>
              </w:rPr>
            </w:pPr>
            <w:r w:rsidRPr="000B262E">
              <w:rPr>
                <w:rFonts w:asciiTheme="minorHAnsi" w:hAnsiTheme="minorHAnsi" w:cstheme="minorHAnsi"/>
                <w:sz w:val="20"/>
                <w:szCs w:val="20"/>
                <w:lang w:val="bs-Latn-BA"/>
              </w:rPr>
              <w:t xml:space="preserve">Obračun po m' izvedene inklinometarske instalacije. </w:t>
            </w:r>
          </w:p>
        </w:tc>
        <w:tc>
          <w:tcPr>
            <w:tcW w:w="597"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60 m'</w:t>
            </w:r>
          </w:p>
        </w:tc>
        <w:tc>
          <w:tcPr>
            <w:tcW w:w="696" w:type="pct"/>
            <w:tcBorders>
              <w:top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p>
        </w:tc>
        <w:tc>
          <w:tcPr>
            <w:tcW w:w="666" w:type="pct"/>
            <w:tcBorders>
              <w:top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bl>
    <w:p w:rsidR="000B262E" w:rsidRDefault="000B262E">
      <w:r>
        <w:br w:type="page"/>
      </w:r>
    </w:p>
    <w:tbl>
      <w:tblPr>
        <w:tblW w:w="50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293"/>
        <w:gridCol w:w="1171"/>
        <w:gridCol w:w="1366"/>
        <w:gridCol w:w="1307"/>
      </w:tblGrid>
      <w:tr w:rsidR="000B262E" w:rsidRPr="000B262E" w:rsidTr="000B262E">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lastRenderedPageBreak/>
              <w:t>5</w:t>
            </w:r>
          </w:p>
        </w:tc>
        <w:tc>
          <w:tcPr>
            <w:tcW w:w="2698"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r w:rsidRPr="000B262E">
              <w:rPr>
                <w:rFonts w:asciiTheme="minorHAnsi" w:hAnsiTheme="minorHAnsi" w:cstheme="minorHAnsi"/>
                <w:b/>
                <w:sz w:val="18"/>
                <w:szCs w:val="18"/>
              </w:rPr>
              <w:t>INKLINOMETRI S TEHNOLOGIJOM KONTINUIRANOG “REAL TIME” MJERANJA I PRIKUPLJANJA PODATAKA</w:t>
            </w:r>
          </w:p>
        </w:tc>
        <w:tc>
          <w:tcPr>
            <w:tcW w:w="597"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p>
        </w:tc>
        <w:tc>
          <w:tcPr>
            <w:tcW w:w="696" w:type="pct"/>
            <w:tcBorders>
              <w:top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p>
        </w:tc>
        <w:tc>
          <w:tcPr>
            <w:tcW w:w="666" w:type="pct"/>
            <w:tcBorders>
              <w:top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r w:rsidR="000B262E" w:rsidRPr="000B262E" w:rsidTr="000B262E">
        <w:tc>
          <w:tcPr>
            <w:tcW w:w="343" w:type="pct"/>
            <w:tcBorders>
              <w:top w:val="nil"/>
              <w:left w:val="single" w:sz="8" w:space="0" w:color="auto"/>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5.1.</w:t>
            </w:r>
          </w:p>
        </w:tc>
        <w:tc>
          <w:tcPr>
            <w:tcW w:w="2698"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rPr>
                <w:rFonts w:asciiTheme="minorHAnsi" w:hAnsiTheme="minorHAnsi" w:cstheme="minorHAnsi"/>
                <w:b/>
                <w:sz w:val="18"/>
                <w:szCs w:val="18"/>
              </w:rPr>
            </w:pPr>
            <w:r w:rsidRPr="000B262E">
              <w:rPr>
                <w:rFonts w:asciiTheme="minorHAnsi" w:hAnsiTheme="minorHAnsi" w:cstheme="minorHAnsi"/>
                <w:b/>
                <w:sz w:val="18"/>
                <w:szCs w:val="18"/>
              </w:rPr>
              <w:t>SENZORI UVEZANI KABLOVIMA (komada)</w:t>
            </w:r>
          </w:p>
          <w:p w:rsidR="000B262E" w:rsidRPr="000B262E" w:rsidRDefault="000B262E" w:rsidP="000B262E">
            <w:pPr>
              <w:pStyle w:val="ListParagraph"/>
              <w:widowControl/>
              <w:numPr>
                <w:ilvl w:val="0"/>
                <w:numId w:val="2"/>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Senzori (formirani kao vertikalni niz) za mjerenje horizontalnih pomaka u vertikalnoj bušotini. Opremljen visokom rezolucijom 3D MEMS senzora i magnetometrom s uključenim kablovima</w:t>
            </w:r>
          </w:p>
          <w:p w:rsidR="000B262E" w:rsidRPr="000B262E" w:rsidRDefault="000B262E" w:rsidP="000B262E">
            <w:pPr>
              <w:pStyle w:val="ListParagraph"/>
              <w:widowControl/>
              <w:numPr>
                <w:ilvl w:val="0"/>
                <w:numId w:val="2"/>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Kabl od aramidnih vlakana za povezivanje veza i mehaničku otpornost</w:t>
            </w:r>
          </w:p>
          <w:p w:rsidR="000B262E" w:rsidRPr="000B262E" w:rsidRDefault="000B262E" w:rsidP="000B262E">
            <w:pPr>
              <w:pStyle w:val="ListParagraph"/>
              <w:widowControl/>
              <w:numPr>
                <w:ilvl w:val="0"/>
                <w:numId w:val="2"/>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 xml:space="preserve">Električni kabl kvadrupolnog tipa za napajanje i prijenos podataka duž niza </w:t>
            </w:r>
          </w:p>
          <w:p w:rsidR="000B262E" w:rsidRPr="000B262E" w:rsidRDefault="000B262E" w:rsidP="000B262E">
            <w:pPr>
              <w:pStyle w:val="ListParagraph"/>
              <w:widowControl/>
              <w:numPr>
                <w:ilvl w:val="0"/>
                <w:numId w:val="2"/>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Plastična cijev za zaštitu vertikalnog niza. Unutarnji promjer minimalno 80 mm.</w:t>
            </w:r>
          </w:p>
          <w:p w:rsidR="000B262E" w:rsidRPr="000B262E" w:rsidRDefault="000B262E" w:rsidP="000B262E">
            <w:pPr>
              <w:pStyle w:val="ListParagraph"/>
              <w:widowControl/>
              <w:numPr>
                <w:ilvl w:val="0"/>
                <w:numId w:val="2"/>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Zaštitni PVC materijal za zaštitu u bušotini, opruga, gornji PVC pokrov, vijci. Svi prateći dodaci potrebni za ugradnju I fiksiranje na površini sa radovima na izradi kape</w:t>
            </w:r>
          </w:p>
          <w:p w:rsidR="000B262E" w:rsidRPr="000B262E" w:rsidRDefault="000B262E" w:rsidP="00804138">
            <w:pPr>
              <w:rPr>
                <w:rFonts w:asciiTheme="minorHAnsi" w:hAnsiTheme="minorHAnsi" w:cstheme="minorHAnsi"/>
                <w:b/>
                <w:sz w:val="18"/>
                <w:szCs w:val="18"/>
              </w:rPr>
            </w:pPr>
            <w:r w:rsidRPr="000B262E">
              <w:rPr>
                <w:rFonts w:asciiTheme="minorHAnsi" w:hAnsiTheme="minorHAnsi" w:cstheme="minorHAnsi"/>
                <w:sz w:val="18"/>
                <w:szCs w:val="18"/>
              </w:rPr>
              <w:t xml:space="preserve">Metalna sidra za pozicioniranje i fiksiranje vertikalnog niza unutar bušotine (ukupno 1 kom). </w:t>
            </w:r>
          </w:p>
        </w:tc>
        <w:tc>
          <w:tcPr>
            <w:tcW w:w="597"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24 kom.</w:t>
            </w:r>
          </w:p>
        </w:tc>
        <w:tc>
          <w:tcPr>
            <w:tcW w:w="696" w:type="pct"/>
            <w:tcBorders>
              <w:top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p>
        </w:tc>
        <w:tc>
          <w:tcPr>
            <w:tcW w:w="666" w:type="pct"/>
            <w:tcBorders>
              <w:top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r w:rsidR="000B262E" w:rsidRPr="000B262E" w:rsidTr="000B262E">
        <w:tc>
          <w:tcPr>
            <w:tcW w:w="343" w:type="pct"/>
            <w:tcBorders>
              <w:top w:val="nil"/>
              <w:left w:val="single" w:sz="8" w:space="0" w:color="auto"/>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5.2.</w:t>
            </w:r>
          </w:p>
        </w:tc>
        <w:tc>
          <w:tcPr>
            <w:tcW w:w="2698"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contextualSpacing/>
              <w:rPr>
                <w:rFonts w:asciiTheme="minorHAnsi" w:hAnsiTheme="minorHAnsi" w:cstheme="minorHAnsi"/>
                <w:b/>
                <w:sz w:val="18"/>
                <w:szCs w:val="18"/>
              </w:rPr>
            </w:pPr>
            <w:r w:rsidRPr="000B262E">
              <w:rPr>
                <w:rFonts w:asciiTheme="minorHAnsi" w:hAnsiTheme="minorHAnsi" w:cstheme="minorHAnsi"/>
                <w:b/>
                <w:sz w:val="18"/>
                <w:szCs w:val="18"/>
              </w:rPr>
              <w:t>SISTEM PRIKUPLJANJA PODATAKA</w:t>
            </w:r>
          </w:p>
          <w:p w:rsidR="000B262E" w:rsidRPr="000B262E" w:rsidRDefault="000B262E" w:rsidP="000B262E">
            <w:pPr>
              <w:pStyle w:val="ListParagraph"/>
              <w:widowControl/>
              <w:numPr>
                <w:ilvl w:val="0"/>
                <w:numId w:val="3"/>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 xml:space="preserve">Modul digitalne interkonekcije. Opremljen s minimalno digitalnim, analognim, naponskim ulazima, alarmnim ulazima, 2 RS232 priključka, 2 RS485 priključka, radio sučeljem, Ethernet priključkom, 1 utorom za SD karticu, 1 USB priključkom za pohranu podataka. Grafički zaslon </w:t>
            </w:r>
          </w:p>
          <w:p w:rsidR="000B262E" w:rsidRPr="000B262E" w:rsidRDefault="000B262E" w:rsidP="000B262E">
            <w:pPr>
              <w:pStyle w:val="ListParagraph"/>
              <w:widowControl/>
              <w:numPr>
                <w:ilvl w:val="0"/>
                <w:numId w:val="3"/>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 xml:space="preserve">Solarni panel s regulatorom punjenja, nosačem od čelika, snage minimalno 5 Watt </w:t>
            </w:r>
          </w:p>
          <w:p w:rsidR="000B262E" w:rsidRPr="000B262E" w:rsidRDefault="000B262E" w:rsidP="000B262E">
            <w:pPr>
              <w:pStyle w:val="ListParagraph"/>
              <w:widowControl/>
              <w:numPr>
                <w:ilvl w:val="0"/>
                <w:numId w:val="3"/>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 xml:space="preserve">Olovnokiselinska baterija, minimalno 12 W, 7Ah </w:t>
            </w:r>
          </w:p>
          <w:p w:rsidR="000B262E" w:rsidRPr="000B262E" w:rsidRDefault="000B262E" w:rsidP="000B262E">
            <w:pPr>
              <w:pStyle w:val="ListParagraph"/>
              <w:widowControl/>
              <w:numPr>
                <w:ilvl w:val="0"/>
                <w:numId w:val="3"/>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 xml:space="preserve">Punjač baterija sa strujom minimalno 12V, 600 mA </w:t>
            </w:r>
          </w:p>
          <w:p w:rsidR="000B262E" w:rsidRPr="000B262E" w:rsidRDefault="000B262E" w:rsidP="000B262E">
            <w:pPr>
              <w:pStyle w:val="ListParagraph"/>
              <w:widowControl/>
              <w:numPr>
                <w:ilvl w:val="0"/>
                <w:numId w:val="3"/>
              </w:numPr>
              <w:autoSpaceDE/>
              <w:autoSpaceDN/>
              <w:contextualSpacing/>
              <w:rPr>
                <w:rFonts w:asciiTheme="minorHAnsi" w:hAnsiTheme="minorHAnsi" w:cstheme="minorHAnsi"/>
                <w:sz w:val="18"/>
                <w:szCs w:val="18"/>
              </w:rPr>
            </w:pPr>
            <w:r w:rsidRPr="000B262E">
              <w:rPr>
                <w:rFonts w:asciiTheme="minorHAnsi" w:hAnsiTheme="minorHAnsi" w:cstheme="minorHAnsi"/>
                <w:sz w:val="18"/>
                <w:szCs w:val="18"/>
              </w:rPr>
              <w:t xml:space="preserve">3G UMTS modul minimalno 1 Ethernet, 1 serijski priključak. Antena je uključena </w:t>
            </w:r>
          </w:p>
          <w:p w:rsidR="000B262E" w:rsidRPr="000B262E" w:rsidRDefault="000B262E" w:rsidP="00804138">
            <w:pPr>
              <w:rPr>
                <w:rFonts w:asciiTheme="minorHAnsi" w:hAnsiTheme="minorHAnsi" w:cstheme="minorHAnsi"/>
                <w:sz w:val="18"/>
                <w:szCs w:val="18"/>
              </w:rPr>
            </w:pPr>
            <w:r w:rsidRPr="000B262E">
              <w:rPr>
                <w:rFonts w:asciiTheme="minorHAnsi" w:hAnsiTheme="minorHAnsi" w:cstheme="minorHAnsi"/>
                <w:sz w:val="18"/>
                <w:szCs w:val="18"/>
              </w:rPr>
              <w:t>Metalni ormarić</w:t>
            </w:r>
          </w:p>
          <w:p w:rsidR="000B262E" w:rsidRPr="000B262E" w:rsidRDefault="000B262E" w:rsidP="00804138">
            <w:pPr>
              <w:rPr>
                <w:rFonts w:asciiTheme="minorHAnsi" w:hAnsiTheme="minorHAnsi" w:cstheme="minorHAnsi"/>
                <w:b/>
                <w:sz w:val="18"/>
                <w:szCs w:val="18"/>
              </w:rPr>
            </w:pPr>
            <w:r w:rsidRPr="000B262E">
              <w:rPr>
                <w:rFonts w:asciiTheme="minorHAnsi" w:hAnsiTheme="minorHAnsi" w:cstheme="minorHAnsi"/>
                <w:sz w:val="18"/>
                <w:szCs w:val="18"/>
              </w:rPr>
              <w:t>Daljinska pomoć za kontrolnu jedinicu</w:t>
            </w:r>
          </w:p>
        </w:tc>
        <w:tc>
          <w:tcPr>
            <w:tcW w:w="597" w:type="pct"/>
            <w:tcBorders>
              <w:top w:val="single" w:sz="4" w:space="0" w:color="auto"/>
              <w:left w:val="nil"/>
              <w:bottom w:val="single" w:sz="4" w:space="0" w:color="auto"/>
              <w:right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r w:rsidRPr="000B262E">
              <w:rPr>
                <w:rFonts w:asciiTheme="minorHAnsi" w:hAnsiTheme="minorHAnsi" w:cstheme="minorHAnsi"/>
                <w:sz w:val="20"/>
                <w:szCs w:val="20"/>
                <w:lang w:val="bs-Latn-BA"/>
              </w:rPr>
              <w:t>2 kom.</w:t>
            </w:r>
          </w:p>
        </w:tc>
        <w:tc>
          <w:tcPr>
            <w:tcW w:w="696" w:type="pct"/>
            <w:tcBorders>
              <w:top w:val="single" w:sz="4" w:space="0" w:color="auto"/>
            </w:tcBorders>
            <w:shd w:val="clear" w:color="auto" w:fill="auto"/>
            <w:vAlign w:val="center"/>
          </w:tcPr>
          <w:p w:rsidR="000B262E" w:rsidRPr="000B262E" w:rsidRDefault="000B262E" w:rsidP="00804138">
            <w:pPr>
              <w:jc w:val="center"/>
              <w:rPr>
                <w:rFonts w:asciiTheme="minorHAnsi" w:hAnsiTheme="minorHAnsi" w:cstheme="minorHAnsi"/>
                <w:sz w:val="20"/>
                <w:szCs w:val="20"/>
                <w:lang w:val="bs-Latn-BA"/>
              </w:rPr>
            </w:pPr>
          </w:p>
        </w:tc>
        <w:tc>
          <w:tcPr>
            <w:tcW w:w="666" w:type="pct"/>
            <w:tcBorders>
              <w:top w:val="single" w:sz="4" w:space="0" w:color="auto"/>
            </w:tcBorders>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r w:rsidR="000B262E" w:rsidRPr="000B262E" w:rsidTr="000B262E">
        <w:trPr>
          <w:trHeight w:val="567"/>
        </w:trPr>
        <w:tc>
          <w:tcPr>
            <w:tcW w:w="4334" w:type="pct"/>
            <w:gridSpan w:val="4"/>
            <w:tcBorders>
              <w:top w:val="single" w:sz="4" w:space="0" w:color="auto"/>
              <w:left w:val="single" w:sz="4" w:space="0" w:color="auto"/>
              <w:bottom w:val="single" w:sz="4" w:space="0" w:color="auto"/>
              <w:right w:val="single" w:sz="4" w:space="0" w:color="auto"/>
            </w:tcBorders>
            <w:vAlign w:val="center"/>
          </w:tcPr>
          <w:p w:rsidR="000B262E" w:rsidRPr="000B262E" w:rsidRDefault="000B262E" w:rsidP="00804138">
            <w:pPr>
              <w:rPr>
                <w:rFonts w:asciiTheme="minorHAnsi" w:eastAsia="Arial Unicode MS" w:hAnsiTheme="minorHAnsi" w:cstheme="minorHAnsi"/>
                <w:b/>
                <w:sz w:val="20"/>
                <w:szCs w:val="20"/>
                <w:lang w:val="bs-Latn-BA"/>
              </w:rPr>
            </w:pPr>
            <w:r w:rsidRPr="000B262E">
              <w:rPr>
                <w:rFonts w:asciiTheme="minorHAnsi" w:eastAsia="Arial Unicode MS" w:hAnsiTheme="minorHAnsi" w:cstheme="minorHAnsi"/>
                <w:b/>
                <w:sz w:val="20"/>
                <w:szCs w:val="20"/>
                <w:lang w:val="bs-Latn-BA"/>
              </w:rPr>
              <w:t>Ukupna cijena bez PDV-a:</w:t>
            </w:r>
          </w:p>
        </w:tc>
        <w:tc>
          <w:tcPr>
            <w:tcW w:w="666" w:type="pct"/>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r w:rsidR="000B262E" w:rsidRPr="000B262E" w:rsidTr="000B262E">
        <w:trPr>
          <w:trHeight w:val="567"/>
        </w:trPr>
        <w:tc>
          <w:tcPr>
            <w:tcW w:w="4334" w:type="pct"/>
            <w:gridSpan w:val="4"/>
            <w:tcBorders>
              <w:top w:val="single" w:sz="4" w:space="0" w:color="auto"/>
              <w:left w:val="single" w:sz="4" w:space="0" w:color="auto"/>
              <w:bottom w:val="single" w:sz="4" w:space="0" w:color="auto"/>
              <w:right w:val="single" w:sz="4" w:space="0" w:color="auto"/>
            </w:tcBorders>
            <w:vAlign w:val="center"/>
          </w:tcPr>
          <w:p w:rsidR="000B262E" w:rsidRPr="000B262E" w:rsidRDefault="000B262E" w:rsidP="00804138">
            <w:pPr>
              <w:rPr>
                <w:rFonts w:asciiTheme="minorHAnsi" w:eastAsia="Arial Unicode MS" w:hAnsiTheme="minorHAnsi" w:cstheme="minorHAnsi"/>
                <w:b/>
                <w:sz w:val="20"/>
                <w:szCs w:val="20"/>
                <w:lang w:val="bs-Latn-BA"/>
              </w:rPr>
            </w:pPr>
            <w:r w:rsidRPr="000B262E">
              <w:rPr>
                <w:rFonts w:asciiTheme="minorHAnsi" w:eastAsia="Arial Unicode MS" w:hAnsiTheme="minorHAnsi" w:cstheme="minorHAnsi"/>
                <w:b/>
                <w:sz w:val="20"/>
                <w:szCs w:val="20"/>
                <w:lang w:val="bs-Latn-BA"/>
              </w:rPr>
              <w:t>Popust:</w:t>
            </w:r>
          </w:p>
        </w:tc>
        <w:tc>
          <w:tcPr>
            <w:tcW w:w="666" w:type="pct"/>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r w:rsidR="000B262E" w:rsidRPr="000B262E" w:rsidTr="000B262E">
        <w:trPr>
          <w:trHeight w:val="567"/>
        </w:trPr>
        <w:tc>
          <w:tcPr>
            <w:tcW w:w="4334" w:type="pct"/>
            <w:gridSpan w:val="4"/>
            <w:tcBorders>
              <w:top w:val="single" w:sz="4" w:space="0" w:color="auto"/>
              <w:left w:val="single" w:sz="4" w:space="0" w:color="auto"/>
              <w:bottom w:val="single" w:sz="4" w:space="0" w:color="auto"/>
              <w:right w:val="single" w:sz="4" w:space="0" w:color="auto"/>
            </w:tcBorders>
            <w:vAlign w:val="center"/>
          </w:tcPr>
          <w:p w:rsidR="000B262E" w:rsidRPr="000B262E" w:rsidRDefault="000B262E" w:rsidP="00804138">
            <w:pPr>
              <w:rPr>
                <w:rFonts w:asciiTheme="minorHAnsi" w:eastAsia="Arial Unicode MS" w:hAnsiTheme="minorHAnsi" w:cstheme="minorHAnsi"/>
                <w:b/>
                <w:sz w:val="20"/>
                <w:szCs w:val="20"/>
                <w:lang w:val="bs-Latn-BA"/>
              </w:rPr>
            </w:pPr>
            <w:r w:rsidRPr="000B262E">
              <w:rPr>
                <w:rFonts w:asciiTheme="minorHAnsi" w:eastAsia="Arial Unicode MS" w:hAnsiTheme="minorHAnsi" w:cstheme="minorHAnsi"/>
                <w:b/>
                <w:sz w:val="20"/>
                <w:szCs w:val="20"/>
                <w:lang w:val="bs-Latn-BA"/>
              </w:rPr>
              <w:t>Ukupna cijena sa popustom bez PDV-a:</w:t>
            </w:r>
          </w:p>
        </w:tc>
        <w:tc>
          <w:tcPr>
            <w:tcW w:w="666" w:type="pct"/>
            <w:shd w:val="clear" w:color="auto" w:fill="auto"/>
            <w:vAlign w:val="center"/>
          </w:tcPr>
          <w:p w:rsidR="000B262E" w:rsidRPr="000B262E" w:rsidRDefault="000B262E" w:rsidP="00804138">
            <w:pPr>
              <w:rPr>
                <w:rFonts w:asciiTheme="minorHAnsi" w:hAnsiTheme="minorHAnsi" w:cstheme="minorHAnsi"/>
                <w:sz w:val="20"/>
                <w:szCs w:val="20"/>
                <w:lang w:val="bs-Latn-BA"/>
              </w:rPr>
            </w:pPr>
          </w:p>
        </w:tc>
      </w:tr>
    </w:tbl>
    <w:p w:rsidR="00331120" w:rsidRPr="000B262E" w:rsidRDefault="00331120">
      <w:pPr>
        <w:pStyle w:val="BodyText"/>
        <w:rPr>
          <w:rFonts w:asciiTheme="minorHAnsi" w:hAnsiTheme="minorHAnsi" w:cstheme="minorHAnsi"/>
        </w:rPr>
      </w:pPr>
    </w:p>
    <w:p w:rsidR="00331120" w:rsidRPr="000B262E" w:rsidRDefault="00331120">
      <w:pPr>
        <w:pStyle w:val="BodyText"/>
        <w:rPr>
          <w:rFonts w:asciiTheme="minorHAnsi" w:hAnsiTheme="minorHAnsi" w:cstheme="minorHAnsi"/>
        </w:rPr>
      </w:pPr>
    </w:p>
    <w:p w:rsidR="00331120" w:rsidRPr="000B262E" w:rsidRDefault="000B262E" w:rsidP="000B262E">
      <w:pPr>
        <w:pStyle w:val="BodyText"/>
        <w:spacing w:before="1"/>
        <w:ind w:left="5760" w:right="283" w:firstLine="720"/>
        <w:rPr>
          <w:rFonts w:asciiTheme="minorHAnsi" w:hAnsiTheme="minorHAnsi" w:cstheme="minorHAnsi"/>
          <w:spacing w:val="-2"/>
          <w:w w:val="80"/>
        </w:rPr>
      </w:pPr>
      <w:r>
        <w:rPr>
          <w:rFonts w:asciiTheme="minorHAnsi" w:hAnsiTheme="minorHAnsi" w:cstheme="minorHAnsi"/>
          <w:w w:val="80"/>
        </w:rPr>
        <w:t xml:space="preserve">      </w:t>
      </w:r>
      <w:r w:rsidR="00077DBF" w:rsidRPr="000B262E">
        <w:rPr>
          <w:rFonts w:asciiTheme="minorHAnsi" w:hAnsiTheme="minorHAnsi" w:cstheme="minorHAnsi"/>
          <w:w w:val="80"/>
        </w:rPr>
        <w:t>POTPIS</w:t>
      </w:r>
      <w:r w:rsidR="00077DBF" w:rsidRPr="000B262E">
        <w:rPr>
          <w:rFonts w:asciiTheme="minorHAnsi" w:hAnsiTheme="minorHAnsi" w:cstheme="minorHAnsi"/>
          <w:spacing w:val="-5"/>
        </w:rPr>
        <w:t xml:space="preserve"> </w:t>
      </w:r>
      <w:r w:rsidR="00077DBF" w:rsidRPr="000B262E">
        <w:rPr>
          <w:rFonts w:asciiTheme="minorHAnsi" w:hAnsiTheme="minorHAnsi" w:cstheme="minorHAnsi"/>
          <w:w w:val="80"/>
        </w:rPr>
        <w:t>I</w:t>
      </w:r>
      <w:r w:rsidR="00077DBF" w:rsidRPr="000B262E">
        <w:rPr>
          <w:rFonts w:asciiTheme="minorHAnsi" w:hAnsiTheme="minorHAnsi" w:cstheme="minorHAnsi"/>
          <w:spacing w:val="-3"/>
        </w:rPr>
        <w:t xml:space="preserve"> </w:t>
      </w:r>
      <w:r w:rsidR="00077DBF" w:rsidRPr="000B262E">
        <w:rPr>
          <w:rFonts w:asciiTheme="minorHAnsi" w:hAnsiTheme="minorHAnsi" w:cstheme="minorHAnsi"/>
          <w:w w:val="80"/>
        </w:rPr>
        <w:t>PEČAT</w:t>
      </w:r>
      <w:r w:rsidR="00077DBF" w:rsidRPr="000B262E">
        <w:rPr>
          <w:rFonts w:asciiTheme="minorHAnsi" w:hAnsiTheme="minorHAnsi" w:cstheme="minorHAnsi"/>
          <w:spacing w:val="-3"/>
        </w:rPr>
        <w:t xml:space="preserve"> </w:t>
      </w:r>
      <w:r w:rsidR="00077DBF" w:rsidRPr="000B262E">
        <w:rPr>
          <w:rFonts w:asciiTheme="minorHAnsi" w:hAnsiTheme="minorHAnsi" w:cstheme="minorHAnsi"/>
          <w:spacing w:val="-2"/>
          <w:w w:val="80"/>
        </w:rPr>
        <w:t>PONUĐAČA</w:t>
      </w:r>
    </w:p>
    <w:p w:rsidR="000B262E" w:rsidRPr="000B262E" w:rsidRDefault="000B262E" w:rsidP="000B262E">
      <w:pPr>
        <w:pStyle w:val="BodyText"/>
        <w:spacing w:before="1"/>
        <w:ind w:left="5760" w:right="283" w:firstLine="720"/>
        <w:jc w:val="center"/>
        <w:rPr>
          <w:rFonts w:asciiTheme="minorHAnsi" w:hAnsiTheme="minorHAnsi" w:cstheme="minorHAnsi"/>
          <w:spacing w:val="-2"/>
          <w:w w:val="80"/>
        </w:rPr>
      </w:pPr>
    </w:p>
    <w:p w:rsidR="000B262E" w:rsidRPr="000B262E" w:rsidRDefault="000B262E" w:rsidP="000B262E">
      <w:pPr>
        <w:pStyle w:val="BodyText"/>
        <w:spacing w:before="1"/>
        <w:ind w:right="283"/>
        <w:jc w:val="both"/>
        <w:rPr>
          <w:rFonts w:asciiTheme="minorHAnsi" w:hAnsiTheme="minorHAnsi" w:cstheme="minorHAnsi"/>
          <w:spacing w:val="-2"/>
          <w:w w:val="80"/>
        </w:rPr>
      </w:pPr>
      <w:r w:rsidRPr="000B262E">
        <w:rPr>
          <w:rFonts w:asciiTheme="minorHAnsi" w:hAnsiTheme="minorHAnsi" w:cstheme="minorHAnsi"/>
          <w:spacing w:val="-2"/>
          <w:w w:val="80"/>
        </w:rPr>
        <w:tab/>
      </w:r>
      <w:r w:rsidRPr="000B262E">
        <w:rPr>
          <w:rFonts w:asciiTheme="minorHAnsi" w:hAnsiTheme="minorHAnsi" w:cstheme="minorHAnsi"/>
          <w:spacing w:val="-2"/>
          <w:w w:val="80"/>
        </w:rPr>
        <w:tab/>
      </w:r>
      <w:r w:rsidRPr="000B262E">
        <w:rPr>
          <w:rFonts w:asciiTheme="minorHAnsi" w:hAnsiTheme="minorHAnsi" w:cstheme="minorHAnsi"/>
          <w:spacing w:val="-2"/>
          <w:w w:val="80"/>
        </w:rPr>
        <w:tab/>
      </w:r>
      <w:r w:rsidRPr="000B262E">
        <w:rPr>
          <w:rFonts w:asciiTheme="minorHAnsi" w:hAnsiTheme="minorHAnsi" w:cstheme="minorHAnsi"/>
          <w:spacing w:val="-2"/>
          <w:w w:val="80"/>
        </w:rPr>
        <w:tab/>
      </w:r>
      <w:r w:rsidRPr="000B262E">
        <w:rPr>
          <w:rFonts w:asciiTheme="minorHAnsi" w:hAnsiTheme="minorHAnsi" w:cstheme="minorHAnsi"/>
          <w:spacing w:val="-2"/>
          <w:w w:val="80"/>
        </w:rPr>
        <w:tab/>
      </w:r>
      <w:r w:rsidRPr="000B262E">
        <w:rPr>
          <w:rFonts w:asciiTheme="minorHAnsi" w:hAnsiTheme="minorHAnsi" w:cstheme="minorHAnsi"/>
          <w:spacing w:val="-2"/>
          <w:w w:val="80"/>
        </w:rPr>
        <w:tab/>
      </w:r>
      <w:r w:rsidRPr="000B262E">
        <w:rPr>
          <w:rFonts w:asciiTheme="minorHAnsi" w:hAnsiTheme="minorHAnsi" w:cstheme="minorHAnsi"/>
          <w:spacing w:val="-2"/>
          <w:w w:val="80"/>
        </w:rPr>
        <w:tab/>
      </w:r>
      <w:r w:rsidRPr="000B262E">
        <w:rPr>
          <w:rFonts w:asciiTheme="minorHAnsi" w:hAnsiTheme="minorHAnsi" w:cstheme="minorHAnsi"/>
          <w:spacing w:val="-2"/>
          <w:w w:val="80"/>
        </w:rPr>
        <w:tab/>
      </w:r>
      <w:r w:rsidRPr="000B262E">
        <w:rPr>
          <w:rFonts w:asciiTheme="minorHAnsi" w:hAnsiTheme="minorHAnsi" w:cstheme="minorHAnsi"/>
          <w:spacing w:val="-2"/>
          <w:w w:val="80"/>
        </w:rPr>
        <w:tab/>
        <w:t xml:space="preserve"> _____________________________</w:t>
      </w:r>
    </w:p>
    <w:p w:rsidR="000B262E" w:rsidRPr="000B262E" w:rsidRDefault="000B262E" w:rsidP="000B262E">
      <w:pPr>
        <w:rPr>
          <w:rFonts w:asciiTheme="minorHAnsi" w:hAnsiTheme="minorHAnsi" w:cstheme="minorHAnsi"/>
          <w:sz w:val="20"/>
          <w:szCs w:val="20"/>
          <w:lang w:val="bs-Latn-BA"/>
        </w:rPr>
      </w:pPr>
    </w:p>
    <w:p w:rsidR="000B262E" w:rsidRPr="000B262E" w:rsidRDefault="000B262E" w:rsidP="000B262E">
      <w:pPr>
        <w:rPr>
          <w:rFonts w:asciiTheme="minorHAnsi" w:hAnsiTheme="minorHAnsi" w:cstheme="minorHAnsi"/>
          <w:sz w:val="20"/>
          <w:szCs w:val="20"/>
          <w:lang w:val="bs-Latn-BA"/>
        </w:rPr>
      </w:pPr>
      <w:r w:rsidRPr="000B262E">
        <w:rPr>
          <w:rFonts w:asciiTheme="minorHAnsi" w:hAnsiTheme="minorHAnsi" w:cstheme="minorHAnsi"/>
          <w:sz w:val="20"/>
          <w:szCs w:val="20"/>
          <w:lang w:val="bs-Latn-BA"/>
        </w:rPr>
        <w:t>NAPOMENA:</w:t>
      </w:r>
      <w:bookmarkStart w:id="0" w:name="_GoBack"/>
      <w:bookmarkEnd w:id="0"/>
    </w:p>
    <w:p w:rsidR="000B262E" w:rsidRPr="000B262E" w:rsidRDefault="000B262E" w:rsidP="000B262E">
      <w:pPr>
        <w:pStyle w:val="ListParagraph"/>
        <w:widowControl/>
        <w:numPr>
          <w:ilvl w:val="0"/>
          <w:numId w:val="4"/>
        </w:numPr>
        <w:autoSpaceDE/>
        <w:autoSpaceDN/>
        <w:spacing w:after="60"/>
        <w:ind w:left="567" w:hanging="425"/>
        <w:contextualSpacing/>
        <w:jc w:val="both"/>
        <w:rPr>
          <w:rFonts w:asciiTheme="minorHAnsi" w:hAnsiTheme="minorHAnsi" w:cstheme="minorHAnsi"/>
          <w:sz w:val="20"/>
          <w:szCs w:val="20"/>
          <w:lang w:val="bs-Latn-BA"/>
        </w:rPr>
      </w:pPr>
      <w:r w:rsidRPr="000B262E">
        <w:rPr>
          <w:rFonts w:asciiTheme="minorHAnsi" w:hAnsiTheme="minorHAnsi" w:cstheme="minorHAnsi"/>
          <w:sz w:val="20"/>
          <w:szCs w:val="20"/>
          <w:lang w:val="bs-Latn-BA"/>
        </w:rPr>
        <w:t>Cijene moraju biti izražene u KM. Za svaku stavku u ponudi mora se navesti cijena.</w:t>
      </w:r>
    </w:p>
    <w:p w:rsidR="000B262E" w:rsidRPr="000B262E" w:rsidRDefault="000B262E" w:rsidP="000B262E">
      <w:pPr>
        <w:pStyle w:val="ListParagraph"/>
        <w:widowControl/>
        <w:numPr>
          <w:ilvl w:val="0"/>
          <w:numId w:val="4"/>
        </w:numPr>
        <w:autoSpaceDE/>
        <w:autoSpaceDN/>
        <w:spacing w:after="60"/>
        <w:ind w:left="567" w:hanging="425"/>
        <w:contextualSpacing/>
        <w:jc w:val="both"/>
        <w:rPr>
          <w:rFonts w:asciiTheme="minorHAnsi" w:hAnsiTheme="minorHAnsi" w:cstheme="minorHAnsi"/>
          <w:sz w:val="20"/>
          <w:szCs w:val="20"/>
          <w:lang w:val="bs-Latn-BA"/>
        </w:rPr>
      </w:pPr>
      <w:r w:rsidRPr="000B262E">
        <w:rPr>
          <w:rFonts w:asciiTheme="minorHAnsi" w:hAnsiTheme="minorHAnsi" w:cstheme="minorHAnsi"/>
          <w:sz w:val="20"/>
          <w:szCs w:val="20"/>
          <w:lang w:val="bs-Latn-BA"/>
        </w:rPr>
        <w:t>Cijena ponude se iskazuje bez PDV-a i sadrži sve naknade koji ugovorni organ treba platiti dobavljaču. Ugovorni organ ne smije imati nikakve dodatne troškove osim onih koji su navedeni u ovom obrascu.</w:t>
      </w:r>
    </w:p>
    <w:p w:rsidR="000B262E" w:rsidRPr="000B262E" w:rsidRDefault="000B262E" w:rsidP="000B262E">
      <w:pPr>
        <w:pStyle w:val="ListParagraph"/>
        <w:widowControl/>
        <w:numPr>
          <w:ilvl w:val="0"/>
          <w:numId w:val="4"/>
        </w:numPr>
        <w:autoSpaceDE/>
        <w:autoSpaceDN/>
        <w:spacing w:after="60"/>
        <w:ind w:left="567" w:hanging="425"/>
        <w:contextualSpacing/>
        <w:jc w:val="both"/>
        <w:rPr>
          <w:rFonts w:asciiTheme="minorHAnsi" w:hAnsiTheme="minorHAnsi" w:cstheme="minorHAnsi"/>
          <w:sz w:val="20"/>
          <w:szCs w:val="20"/>
          <w:lang w:val="bs-Latn-BA"/>
        </w:rPr>
      </w:pPr>
      <w:r w:rsidRPr="000B262E">
        <w:rPr>
          <w:rFonts w:asciiTheme="minorHAnsi" w:hAnsiTheme="minorHAnsi" w:cstheme="minorHAnsi"/>
          <w:sz w:val="20"/>
          <w:szCs w:val="20"/>
          <w:lang w:val="bs-Latn-BA"/>
        </w:rPr>
        <w:t>U slučaju razlika između jediničnih cijena i ukupnog iznosa, ispravka će se izvršiti u skladu sa jediničnim cijenama.</w:t>
      </w:r>
    </w:p>
    <w:p w:rsidR="000B262E" w:rsidRPr="000B262E" w:rsidRDefault="000B262E" w:rsidP="000B262E">
      <w:pPr>
        <w:pStyle w:val="ListParagraph"/>
        <w:widowControl/>
        <w:numPr>
          <w:ilvl w:val="0"/>
          <w:numId w:val="4"/>
        </w:numPr>
        <w:tabs>
          <w:tab w:val="left" w:pos="284"/>
        </w:tabs>
        <w:autoSpaceDE/>
        <w:autoSpaceDN/>
        <w:spacing w:after="60"/>
        <w:ind w:left="567" w:hanging="425"/>
        <w:contextualSpacing/>
        <w:jc w:val="both"/>
        <w:rPr>
          <w:rFonts w:asciiTheme="minorHAnsi" w:hAnsiTheme="minorHAnsi" w:cstheme="minorHAnsi"/>
          <w:sz w:val="20"/>
          <w:szCs w:val="20"/>
          <w:lang w:val="bs-Latn-BA"/>
        </w:rPr>
      </w:pPr>
      <w:r w:rsidRPr="000B262E">
        <w:rPr>
          <w:rFonts w:asciiTheme="minorHAnsi" w:hAnsiTheme="minorHAnsi" w:cstheme="minorHAnsi"/>
          <w:sz w:val="20"/>
          <w:szCs w:val="20"/>
          <w:lang w:val="bs-Latn-BA"/>
        </w:rPr>
        <w:t>Jedinična cijena stavke ne smatra se računskom greškom, odnosno ne može se ispravljati ni pod kojim uslovima.</w:t>
      </w:r>
    </w:p>
    <w:p w:rsidR="000B262E" w:rsidRPr="000B262E" w:rsidRDefault="000B262E" w:rsidP="000B262E"/>
    <w:sectPr w:rsidR="000B262E" w:rsidRPr="000B262E">
      <w:footerReference w:type="default" r:id="rId7"/>
      <w:type w:val="continuous"/>
      <w:pgSz w:w="11920" w:h="16850"/>
      <w:pgMar w:top="1180" w:right="992" w:bottom="1860" w:left="1275" w:header="0" w:footer="16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E30" w:rsidRDefault="00EE6E30">
      <w:r>
        <w:separator/>
      </w:r>
    </w:p>
  </w:endnote>
  <w:endnote w:type="continuationSeparator" w:id="0">
    <w:p w:rsidR="00EE6E30" w:rsidRDefault="00EE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20" w:rsidRDefault="00331120">
    <w:pPr>
      <w:pStyle w:val="BodyText"/>
      <w:spacing w:line="14"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E30" w:rsidRDefault="00EE6E30">
      <w:r>
        <w:separator/>
      </w:r>
    </w:p>
  </w:footnote>
  <w:footnote w:type="continuationSeparator" w:id="0">
    <w:p w:rsidR="00EE6E30" w:rsidRDefault="00EE6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0643"/>
    <w:multiLevelType w:val="hybridMultilevel"/>
    <w:tmpl w:val="F18AD65E"/>
    <w:lvl w:ilvl="0" w:tplc="141A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361EF4"/>
    <w:multiLevelType w:val="hybridMultilevel"/>
    <w:tmpl w:val="7AF0EECA"/>
    <w:lvl w:ilvl="0" w:tplc="648E3AB8">
      <w:numFmt w:val="bullet"/>
      <w:lvlText w:val="-"/>
      <w:lvlJc w:val="left"/>
      <w:pPr>
        <w:ind w:left="112" w:hanging="89"/>
      </w:pPr>
      <w:rPr>
        <w:rFonts w:ascii="Microsoft Sans Serif" w:eastAsia="Microsoft Sans Serif" w:hAnsi="Microsoft Sans Serif" w:cs="Microsoft Sans Serif" w:hint="default"/>
        <w:b w:val="0"/>
        <w:bCs w:val="0"/>
        <w:i w:val="0"/>
        <w:iCs w:val="0"/>
        <w:spacing w:val="0"/>
        <w:w w:val="81"/>
        <w:sz w:val="18"/>
        <w:szCs w:val="18"/>
        <w:lang w:val="bs-Latn" w:eastAsia="en-US" w:bidi="ar-SA"/>
      </w:rPr>
    </w:lvl>
    <w:lvl w:ilvl="1" w:tplc="FCB40DC2">
      <w:numFmt w:val="bullet"/>
      <w:lvlText w:val="•"/>
      <w:lvlJc w:val="left"/>
      <w:pPr>
        <w:ind w:left="608" w:hanging="89"/>
      </w:pPr>
      <w:rPr>
        <w:rFonts w:hint="default"/>
        <w:lang w:val="bs-Latn" w:eastAsia="en-US" w:bidi="ar-SA"/>
      </w:rPr>
    </w:lvl>
    <w:lvl w:ilvl="2" w:tplc="43AA3866">
      <w:numFmt w:val="bullet"/>
      <w:lvlText w:val="•"/>
      <w:lvlJc w:val="left"/>
      <w:pPr>
        <w:ind w:left="1097" w:hanging="89"/>
      </w:pPr>
      <w:rPr>
        <w:rFonts w:hint="default"/>
        <w:lang w:val="bs-Latn" w:eastAsia="en-US" w:bidi="ar-SA"/>
      </w:rPr>
    </w:lvl>
    <w:lvl w:ilvl="3" w:tplc="28048814">
      <w:numFmt w:val="bullet"/>
      <w:lvlText w:val="•"/>
      <w:lvlJc w:val="left"/>
      <w:pPr>
        <w:ind w:left="1585" w:hanging="89"/>
      </w:pPr>
      <w:rPr>
        <w:rFonts w:hint="default"/>
        <w:lang w:val="bs-Latn" w:eastAsia="en-US" w:bidi="ar-SA"/>
      </w:rPr>
    </w:lvl>
    <w:lvl w:ilvl="4" w:tplc="E7C27930">
      <w:numFmt w:val="bullet"/>
      <w:lvlText w:val="•"/>
      <w:lvlJc w:val="left"/>
      <w:pPr>
        <w:ind w:left="2074" w:hanging="89"/>
      </w:pPr>
      <w:rPr>
        <w:rFonts w:hint="default"/>
        <w:lang w:val="bs-Latn" w:eastAsia="en-US" w:bidi="ar-SA"/>
      </w:rPr>
    </w:lvl>
    <w:lvl w:ilvl="5" w:tplc="C59801E0">
      <w:numFmt w:val="bullet"/>
      <w:lvlText w:val="•"/>
      <w:lvlJc w:val="left"/>
      <w:pPr>
        <w:ind w:left="2562" w:hanging="89"/>
      </w:pPr>
      <w:rPr>
        <w:rFonts w:hint="default"/>
        <w:lang w:val="bs-Latn" w:eastAsia="en-US" w:bidi="ar-SA"/>
      </w:rPr>
    </w:lvl>
    <w:lvl w:ilvl="6" w:tplc="4F003C4C">
      <w:numFmt w:val="bullet"/>
      <w:lvlText w:val="•"/>
      <w:lvlJc w:val="left"/>
      <w:pPr>
        <w:ind w:left="3051" w:hanging="89"/>
      </w:pPr>
      <w:rPr>
        <w:rFonts w:hint="default"/>
        <w:lang w:val="bs-Latn" w:eastAsia="en-US" w:bidi="ar-SA"/>
      </w:rPr>
    </w:lvl>
    <w:lvl w:ilvl="7" w:tplc="AAA88D48">
      <w:numFmt w:val="bullet"/>
      <w:lvlText w:val="•"/>
      <w:lvlJc w:val="left"/>
      <w:pPr>
        <w:ind w:left="3539" w:hanging="89"/>
      </w:pPr>
      <w:rPr>
        <w:rFonts w:hint="default"/>
        <w:lang w:val="bs-Latn" w:eastAsia="en-US" w:bidi="ar-SA"/>
      </w:rPr>
    </w:lvl>
    <w:lvl w:ilvl="8" w:tplc="934C762C">
      <w:numFmt w:val="bullet"/>
      <w:lvlText w:val="•"/>
      <w:lvlJc w:val="left"/>
      <w:pPr>
        <w:ind w:left="4028" w:hanging="89"/>
      </w:pPr>
      <w:rPr>
        <w:rFonts w:hint="default"/>
        <w:lang w:val="bs-Latn" w:eastAsia="en-US" w:bidi="ar-SA"/>
      </w:rPr>
    </w:lvl>
  </w:abstractNum>
  <w:abstractNum w:abstractNumId="2" w15:restartNumberingAfterBreak="0">
    <w:nsid w:val="2E924384"/>
    <w:multiLevelType w:val="hybridMultilevel"/>
    <w:tmpl w:val="9DF6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64C09"/>
    <w:multiLevelType w:val="hybridMultilevel"/>
    <w:tmpl w:val="FC62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20"/>
    <w:rsid w:val="00077DBF"/>
    <w:rsid w:val="000B262E"/>
    <w:rsid w:val="0010318A"/>
    <w:rsid w:val="00165AD2"/>
    <w:rsid w:val="002A78D8"/>
    <w:rsid w:val="00331120"/>
    <w:rsid w:val="00766AF1"/>
    <w:rsid w:val="00B259A9"/>
    <w:rsid w:val="00E52A27"/>
    <w:rsid w:val="00EE6E3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B78E7-4819-4A32-94E7-CAD91BF2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bs-La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rPr>
  </w:style>
  <w:style w:type="paragraph" w:styleId="Title">
    <w:name w:val="Title"/>
    <w:basedOn w:val="Normal"/>
    <w:uiPriority w:val="1"/>
    <w:qFormat/>
    <w:pPr>
      <w:spacing w:before="75"/>
      <w:ind w:right="286"/>
      <w:jc w:val="center"/>
    </w:pPr>
    <w:rPr>
      <w:rFonts w:ascii="Arial" w:eastAsia="Arial" w:hAnsi="Arial" w:cs="Arial"/>
      <w:b/>
      <w:bCs/>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0B262E"/>
    <w:rPr>
      <w:rFonts w:ascii="Microsoft Sans Serif" w:eastAsia="Microsoft Sans Serif" w:hAnsi="Microsoft Sans Serif" w:cs="Microsoft Sans Serif"/>
      <w:lang w:val="bs-Latn"/>
    </w:rPr>
  </w:style>
  <w:style w:type="paragraph" w:styleId="NoSpacing">
    <w:name w:val="No Spacing"/>
    <w:uiPriority w:val="1"/>
    <w:qFormat/>
    <w:rsid w:val="000B262E"/>
    <w:pPr>
      <w:widowControl/>
      <w:autoSpaceDE/>
      <w:autoSpaceDN/>
    </w:pPr>
    <w:rPr>
      <w:rFonts w:ascii="Calibri" w:eastAsia="Calibri" w:hAnsi="Calibri" w:cs="Times New Roman"/>
      <w:lang w:val="hr-HR"/>
    </w:rPr>
  </w:style>
  <w:style w:type="paragraph" w:styleId="Header">
    <w:name w:val="header"/>
    <w:basedOn w:val="Normal"/>
    <w:link w:val="HeaderChar"/>
    <w:uiPriority w:val="99"/>
    <w:unhideWhenUsed/>
    <w:rsid w:val="000B262E"/>
    <w:pPr>
      <w:tabs>
        <w:tab w:val="center" w:pos="4513"/>
        <w:tab w:val="right" w:pos="9026"/>
      </w:tabs>
    </w:pPr>
  </w:style>
  <w:style w:type="character" w:customStyle="1" w:styleId="HeaderChar">
    <w:name w:val="Header Char"/>
    <w:basedOn w:val="DefaultParagraphFont"/>
    <w:link w:val="Header"/>
    <w:uiPriority w:val="99"/>
    <w:rsid w:val="000B262E"/>
    <w:rPr>
      <w:rFonts w:ascii="Microsoft Sans Serif" w:eastAsia="Microsoft Sans Serif" w:hAnsi="Microsoft Sans Serif" w:cs="Microsoft Sans Serif"/>
      <w:lang w:val="bs-Latn"/>
    </w:rPr>
  </w:style>
  <w:style w:type="paragraph" w:styleId="Footer">
    <w:name w:val="footer"/>
    <w:basedOn w:val="Normal"/>
    <w:link w:val="FooterChar"/>
    <w:uiPriority w:val="99"/>
    <w:unhideWhenUsed/>
    <w:rsid w:val="000B262E"/>
    <w:pPr>
      <w:tabs>
        <w:tab w:val="center" w:pos="4513"/>
        <w:tab w:val="right" w:pos="9026"/>
      </w:tabs>
    </w:pPr>
  </w:style>
  <w:style w:type="character" w:customStyle="1" w:styleId="FooterChar">
    <w:name w:val="Footer Char"/>
    <w:basedOn w:val="DefaultParagraphFont"/>
    <w:link w:val="Footer"/>
    <w:uiPriority w:val="99"/>
    <w:rsid w:val="000B262E"/>
    <w:rPr>
      <w:rFonts w:ascii="Microsoft Sans Serif" w:eastAsia="Microsoft Sans Serif" w:hAnsi="Microsoft Sans Serif" w:cs="Microsoft Sans Serif"/>
      <w:lang w:val="bs-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Adis Hamzic</cp:lastModifiedBy>
  <cp:revision>3</cp:revision>
  <dcterms:created xsi:type="dcterms:W3CDTF">2025-03-04T07:50:00Z</dcterms:created>
  <dcterms:modified xsi:type="dcterms:W3CDTF">2025-03-04T07:56:00Z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2019</vt:lpwstr>
  </property>
  <property fmtid="{D5CDD505-2E9C-101B-9397-08002B2CF9AE}" pid="4" name="LastSaved">
    <vt:filetime>2024-12-18T00:00:00Z</vt:filetime>
  </property>
  <property fmtid="{D5CDD505-2E9C-101B-9397-08002B2CF9AE}" pid="5" name="Producer">
    <vt:lpwstr>Microsoft® Word 2019</vt:lpwstr>
  </property>
</Properties>
</file>