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609"/>
        <w:gridCol w:w="1417"/>
        <w:gridCol w:w="2350"/>
        <w:gridCol w:w="2753"/>
      </w:tblGrid>
      <w:tr w:rsidR="00D850C2" w:rsidRPr="00342B76" w14:paraId="4DB83732" w14:textId="77777777" w:rsidTr="00156B78">
        <w:trPr>
          <w:trHeight w:val="104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080814F" w14:textId="4723CF41" w:rsidR="00D850C2" w:rsidRPr="00342B76" w:rsidRDefault="00D850C2" w:rsidP="00D850C2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Šifra predmeta:</w:t>
            </w:r>
            <w:r w:rsidR="00A92F01" w:rsidRPr="00342B76">
              <w:rPr>
                <w:rFonts w:eastAsia="Times New Roman" w:cs="Arial"/>
                <w:lang w:eastAsia="hr-BA"/>
              </w:rPr>
              <w:t xml:space="preserve"> </w:t>
            </w:r>
            <w:r w:rsidR="002D7204">
              <w:rPr>
                <w:rFonts w:eastAsia="Times New Roman" w:cs="Arial"/>
                <w:lang w:eastAsia="hr-BA"/>
              </w:rPr>
              <w:t>GM27</w:t>
            </w: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 </w:t>
            </w:r>
          </w:p>
        </w:tc>
        <w:tc>
          <w:tcPr>
            <w:tcW w:w="7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CED7BEE" w14:textId="77777777" w:rsidR="00D850C2" w:rsidRPr="00342B76" w:rsidRDefault="00D850C2" w:rsidP="001718D0">
            <w:pPr>
              <w:ind w:left="1627" w:hanging="1627"/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Naziv predmeta:   </w:t>
            </w:r>
            <w:r w:rsidR="001718D0" w:rsidRPr="001718D0">
              <w:rPr>
                <w:b/>
              </w:rPr>
              <w:t>VODOSNABDIJEVANJE</w:t>
            </w:r>
          </w:p>
        </w:tc>
      </w:tr>
      <w:tr w:rsidR="00D850C2" w:rsidRPr="00342B76" w14:paraId="36AB966D" w14:textId="77777777" w:rsidTr="00156B78">
        <w:trPr>
          <w:trHeight w:val="104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F2A5BEC" w14:textId="77777777" w:rsidR="00D850C2" w:rsidRPr="00342B76" w:rsidRDefault="006C02D8" w:rsidP="0007767A">
            <w:pPr>
              <w:rPr>
                <w:rFonts w:eastAsia="Times New Roman" w:cs="Arial"/>
                <w:lang w:eastAsia="hr-B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Ciklus</w:t>
            </w:r>
            <w:r w:rsidR="00D850C2"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  <w:r w:rsidR="001718D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</w:p>
        </w:tc>
        <w:tc>
          <w:tcPr>
            <w:tcW w:w="2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7152FA6" w14:textId="77777777" w:rsidR="00D850C2" w:rsidRPr="00342B76" w:rsidRDefault="00D850C2" w:rsidP="0007767A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Godina: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2D1AEA6" w14:textId="77777777" w:rsidR="00D850C2" w:rsidRPr="00342B76" w:rsidRDefault="00D850C2" w:rsidP="001F44D8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Semestar: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1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125EAC0" w14:textId="77777777" w:rsidR="00D850C2" w:rsidRPr="00342B76" w:rsidRDefault="00D850C2" w:rsidP="001F44D8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Broj ECTS kredita:</w:t>
            </w:r>
            <w:r w:rsidRPr="00342B76">
              <w:rPr>
                <w:rFonts w:eastAsia="Calibri"/>
                <w:color w:val="000000"/>
                <w:kern w:val="24"/>
                <w:lang w:eastAsia="hr-BA"/>
              </w:rPr>
              <w:t xml:space="preserve"> </w:t>
            </w:r>
            <w:r w:rsidR="001718D0">
              <w:rPr>
                <w:rFonts w:eastAsia="Calibri"/>
                <w:color w:val="000000"/>
                <w:kern w:val="24"/>
                <w:lang w:eastAsia="hr-BA"/>
              </w:rPr>
              <w:t>6</w:t>
            </w:r>
          </w:p>
        </w:tc>
      </w:tr>
      <w:tr w:rsidR="00D850C2" w:rsidRPr="00342B76" w14:paraId="55CFAD56" w14:textId="77777777" w:rsidTr="00156B78">
        <w:trPr>
          <w:trHeight w:val="479"/>
        </w:trPr>
        <w:tc>
          <w:tcPr>
            <w:tcW w:w="4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FB6A2CB" w14:textId="00EAA679" w:rsidR="00D850C2" w:rsidRPr="00342B76" w:rsidRDefault="00D850C2" w:rsidP="0007767A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Status: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obavezni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3ECA58C" w14:textId="77777777" w:rsidR="00E22606" w:rsidRDefault="00D850C2" w:rsidP="00D850C2">
            <w:pP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Ukupan broj sati: </w:t>
            </w:r>
            <w:r w:rsidR="001718D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75</w:t>
            </w: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 </w:t>
            </w:r>
            <w:r w:rsidR="001718D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 (3+2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)</w:t>
            </w:r>
          </w:p>
          <w:p w14:paraId="30158D4A" w14:textId="77777777" w:rsidR="00925AA7" w:rsidRDefault="00925AA7" w:rsidP="00D850C2">
            <w:pP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Predavanja:45</w:t>
            </w:r>
          </w:p>
          <w:p w14:paraId="4C9045B9" w14:textId="6EEE5A98" w:rsidR="00925AA7" w:rsidRPr="0007767A" w:rsidRDefault="00925AA7" w:rsidP="00D850C2">
            <w:pP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Vježbe:30</w:t>
            </w:r>
          </w:p>
        </w:tc>
      </w:tr>
      <w:tr w:rsidR="006C02D8" w:rsidRPr="00342B76" w14:paraId="17426241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1B39A1FF" w14:textId="77777777" w:rsidR="006C02D8" w:rsidRDefault="007F7807" w:rsidP="00D850C2">
            <w:pPr>
              <w:rPr>
                <w:rFonts w:eastAsia="Times New Roman" w:cs="Arial"/>
                <w:b/>
                <w:lang w:eastAsia="hr-BA"/>
              </w:rPr>
            </w:pPr>
            <w:proofErr w:type="spellStart"/>
            <w:r>
              <w:rPr>
                <w:rFonts w:eastAsia="Times New Roman" w:cs="Arial"/>
                <w:b/>
                <w:lang w:eastAsia="hr-BA"/>
              </w:rPr>
              <w:t>Odgovorni</w:t>
            </w:r>
            <w:proofErr w:type="spellEnd"/>
            <w:r>
              <w:rPr>
                <w:rFonts w:eastAsia="Times New Roman" w:cs="Arial"/>
                <w:b/>
                <w:lang w:eastAsia="hr-BA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lang w:eastAsia="hr-BA"/>
              </w:rPr>
              <w:t>nastavni</w:t>
            </w:r>
            <w:r w:rsidR="006C02D8">
              <w:rPr>
                <w:rFonts w:eastAsia="Times New Roman" w:cs="Arial"/>
                <w:b/>
                <w:lang w:eastAsia="hr-BA"/>
              </w:rPr>
              <w:t>ci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0D0880BE" w14:textId="77777777" w:rsidR="001718D0" w:rsidRPr="002D7204" w:rsidRDefault="001718D0" w:rsidP="001718D0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>Nastavnici</w:t>
            </w:r>
            <w:proofErr w:type="spellEnd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>saradnici</w:t>
            </w:r>
            <w:proofErr w:type="spellEnd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>izabrani</w:t>
            </w:r>
            <w:proofErr w:type="spellEnd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 xml:space="preserve"> oblast </w:t>
            </w:r>
            <w:proofErr w:type="spellStart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>kojoj</w:t>
            </w:r>
            <w:proofErr w:type="spellEnd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>predmet</w:t>
            </w:r>
            <w:proofErr w:type="spellEnd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2D7204">
              <w:rPr>
                <w:rFonts w:eastAsia="Times New Roman" w:cs="Arial"/>
                <w:sz w:val="20"/>
                <w:szCs w:val="20"/>
                <w:lang w:eastAsia="hr-BA"/>
              </w:rPr>
              <w:t>pripada</w:t>
            </w:r>
            <w:proofErr w:type="spellEnd"/>
          </w:p>
          <w:p w14:paraId="1A3FA8FB" w14:textId="77777777" w:rsidR="006C02D8" w:rsidRPr="0086371C" w:rsidRDefault="006C02D8" w:rsidP="001718D0">
            <w:pPr>
              <w:rPr>
                <w:rFonts w:eastAsia="Times New Roman" w:cs="Arial"/>
                <w:lang w:eastAsia="hr-BA"/>
              </w:rPr>
            </w:pPr>
          </w:p>
        </w:tc>
      </w:tr>
      <w:tr w:rsidR="00D850C2" w:rsidRPr="004C1C35" w14:paraId="453018DB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8C00C83" w14:textId="77777777" w:rsidR="00D850C2" w:rsidRPr="004C1C35" w:rsidRDefault="002171D2" w:rsidP="00D850C2">
            <w:pPr>
              <w:rPr>
                <w:rFonts w:eastAsia="Times New Roman" w:cs="Arial"/>
                <w:b/>
                <w:sz w:val="20"/>
                <w:szCs w:val="20"/>
                <w:lang w:eastAsia="hr-BA"/>
              </w:rPr>
            </w:pPr>
            <w:proofErr w:type="spellStart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Preduslov</w:t>
            </w:r>
            <w:proofErr w:type="spellEnd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upis</w:t>
            </w:r>
            <w:proofErr w:type="spellEnd"/>
            <w:r w:rsidR="00D850C2"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: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AACE092" w14:textId="77777777" w:rsidR="00D850C2" w:rsidRPr="004C1C35" w:rsidRDefault="00D850C2" w:rsidP="00D850C2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instrText xml:space="preserve"> FORMTEXT </w:instrText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separate"/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end"/>
            </w:r>
            <w:bookmarkEnd w:id="0"/>
          </w:p>
        </w:tc>
      </w:tr>
      <w:tr w:rsidR="00D850C2" w:rsidRPr="00FF34F7" w14:paraId="1F841486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61365EE6" w14:textId="77777777" w:rsidR="00D850C2" w:rsidRPr="004C1C35" w:rsidRDefault="00D850C2" w:rsidP="00D850C2">
            <w:pPr>
              <w:rPr>
                <w:rFonts w:eastAsia="Calibri"/>
                <w:b/>
                <w:bCs/>
                <w:color w:val="FF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Cilj (ciljevi) predmeta: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7DE3997C" w14:textId="77777777" w:rsidR="008B1299" w:rsidRPr="00AC244E" w:rsidRDefault="00AC244E" w:rsidP="00AC244E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 </w:t>
            </w:r>
            <w:r w:rsidR="001718D0" w:rsidRPr="001718D0">
              <w:rPr>
                <w:rFonts w:eastAsia="Times New Roman"/>
                <w:sz w:val="20"/>
                <w:szCs w:val="20"/>
                <w:lang w:val="tr-TR" w:eastAsia="en-GB"/>
              </w:rPr>
              <w:t>Sticanje znanja o sistemima vodosnabdijevanja, zahvatanju pitke vode,  transportu i distribuciji potrebnih količina pitke vode za naselja i industriju, uključujući sve neophodne elemente planiranja i hidrauličkih proračuna vodovodnih sistema.</w:t>
            </w:r>
          </w:p>
        </w:tc>
      </w:tr>
      <w:tr w:rsidR="008B1299" w:rsidRPr="00285CE3" w14:paraId="3DFC581F" w14:textId="77777777" w:rsidTr="00E459E6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29141081" w14:textId="77777777" w:rsidR="008B1299" w:rsidRPr="004C1C35" w:rsidRDefault="008B1299" w:rsidP="008B1299">
            <w:pPr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Tematske jedinice:</w:t>
            </w:r>
          </w:p>
          <w:p w14:paraId="01C9E4B5" w14:textId="77777777" w:rsidR="008B1299" w:rsidRPr="004C1C35" w:rsidRDefault="008B1299" w:rsidP="008B1299">
            <w:pPr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  <w:t>(po potrebi plan izvođenja po sedmicama se utvrđuje uvažavajući specifičnosti organizacionih jedinica)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</w:tcPr>
          <w:p w14:paraId="39579DF0" w14:textId="77777777" w:rsidR="001718D0" w:rsidRPr="00285CE3" w:rsidRDefault="007B19EA" w:rsidP="001718D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 w:rsidRPr="00285CE3">
              <w:rPr>
                <w:rFonts w:eastAsia="Times New Roman"/>
                <w:sz w:val="20"/>
                <w:szCs w:val="20"/>
                <w:lang w:val="tr-TR" w:eastAsia="en-GB"/>
              </w:rPr>
              <w:t>1.</w:t>
            </w:r>
            <w:r w:rsidR="00754C20" w:rsidRPr="00285CE3">
              <w:rPr>
                <w:rFonts w:eastAsia="Times New Roman"/>
                <w:sz w:val="20"/>
                <w:szCs w:val="20"/>
                <w:lang w:val="tr-TR" w:eastAsia="en-GB"/>
              </w:rPr>
              <w:t xml:space="preserve">   </w:t>
            </w:r>
            <w:r w:rsidR="00285CE3" w:rsidRPr="00285CE3">
              <w:rPr>
                <w:rFonts w:eastAsia="Times New Roman"/>
                <w:sz w:val="20"/>
                <w:szCs w:val="20"/>
                <w:lang w:val="tr-TR" w:eastAsia="en-GB"/>
              </w:rPr>
              <w:t>Urbani sistemi za vodosnabdijevanje</w:t>
            </w:r>
          </w:p>
          <w:p w14:paraId="7152E424" w14:textId="77777777" w:rsidR="00285CE3" w:rsidRDefault="00285CE3" w:rsidP="001718D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 w:rsidRPr="00285CE3">
              <w:rPr>
                <w:rFonts w:eastAsia="Times New Roman"/>
                <w:sz w:val="20"/>
                <w:szCs w:val="20"/>
                <w:lang w:val="tr-TR" w:eastAsia="en-GB"/>
              </w:rPr>
              <w:t xml:space="preserve">2. 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Vodni bilans- potrošnja vode i sastav vode</w:t>
            </w:r>
          </w:p>
          <w:p w14:paraId="140735C3" w14:textId="77777777" w:rsidR="00285CE3" w:rsidRDefault="00FF34F7" w:rsidP="001718D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3. Sistemi za vodos</w:t>
            </w:r>
            <w:r w:rsidR="00285CE3">
              <w:rPr>
                <w:rFonts w:eastAsia="Times New Roman"/>
                <w:sz w:val="20"/>
                <w:szCs w:val="20"/>
                <w:lang w:val="tr-TR" w:eastAsia="en-GB"/>
              </w:rPr>
              <w:t>nabdijevanje</w:t>
            </w:r>
          </w:p>
          <w:p w14:paraId="73A636E7" w14:textId="77777777" w:rsidR="00285CE3" w:rsidRDefault="00285CE3" w:rsidP="001718D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4. Vodni resursi i tipovi zahvata </w:t>
            </w:r>
            <w:r w:rsidR="00E205F4">
              <w:rPr>
                <w:rFonts w:eastAsia="Times New Roman"/>
                <w:sz w:val="20"/>
                <w:szCs w:val="20"/>
                <w:lang w:val="tr-TR" w:eastAsia="en-GB"/>
              </w:rPr>
              <w:t>I dio</w:t>
            </w:r>
          </w:p>
          <w:p w14:paraId="4A953D8B" w14:textId="77777777" w:rsidR="00285CE3" w:rsidRDefault="00285CE3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5. </w:t>
            </w:r>
            <w:r w:rsidR="00E205F4">
              <w:rPr>
                <w:rFonts w:eastAsia="Times New Roman"/>
                <w:sz w:val="20"/>
                <w:szCs w:val="20"/>
                <w:lang w:val="tr-TR" w:eastAsia="en-GB"/>
              </w:rPr>
              <w:t>Tipovi zahvata II/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Dovodnici</w:t>
            </w:r>
          </w:p>
          <w:p w14:paraId="5A66E0A0" w14:textId="77777777" w:rsidR="00285CE3" w:rsidRDefault="00285CE3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6. Rezervoari, prekidne komore, hidrofori</w:t>
            </w:r>
          </w:p>
          <w:p w14:paraId="37C43FE1" w14:textId="77777777" w:rsidR="00285CE3" w:rsidRDefault="00285CE3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7. Pumpne stanice: tipovi i namjena (I dio o PS)</w:t>
            </w:r>
          </w:p>
          <w:p w14:paraId="7ED367D6" w14:textId="77777777" w:rsidR="00285CE3" w:rsidRDefault="00E205F4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8. TEST I</w:t>
            </w:r>
          </w:p>
          <w:p w14:paraId="0F43796D" w14:textId="77777777" w:rsidR="00285CE3" w:rsidRDefault="00285CE3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9.Pumpne stanice</w:t>
            </w:r>
          </w:p>
          <w:p w14:paraId="2A9607AA" w14:textId="77777777" w:rsidR="00285CE3" w:rsidRDefault="00285CE3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10. Cijevni materijali, fazoni i armature za opremanje vodovodne mreže</w:t>
            </w:r>
          </w:p>
          <w:p w14:paraId="58B0E005" w14:textId="77777777" w:rsidR="00285CE3" w:rsidRDefault="00285CE3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11. Vodovodne mreže</w:t>
            </w:r>
          </w:p>
          <w:p w14:paraId="148F02CD" w14:textId="77777777" w:rsidR="00285CE3" w:rsidRDefault="00285CE3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12. Rješavanje problema vodos</w:t>
            </w:r>
            <w:r w:rsidR="00E205F4">
              <w:rPr>
                <w:rFonts w:eastAsia="Times New Roman"/>
                <w:sz w:val="20"/>
                <w:szCs w:val="20"/>
                <w:lang w:val="tr-TR" w:eastAsia="en-GB"/>
              </w:rPr>
              <w:t>nabdi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j</w:t>
            </w:r>
            <w:r w:rsidR="00E205F4">
              <w:rPr>
                <w:rFonts w:eastAsia="Times New Roman"/>
                <w:sz w:val="20"/>
                <w:szCs w:val="20"/>
                <w:lang w:val="tr-TR" w:eastAsia="en-GB"/>
              </w:rPr>
              <w:t>e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vanja, gubici u mreži i dr. </w:t>
            </w:r>
          </w:p>
          <w:p w14:paraId="4D6B23ED" w14:textId="77777777" w:rsidR="00285CE3" w:rsidRDefault="00285CE3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13. Kućne instalacije – vodovod</w:t>
            </w:r>
          </w:p>
          <w:p w14:paraId="224E1071" w14:textId="77777777" w:rsidR="00285CE3" w:rsidRDefault="00285CE3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14. </w:t>
            </w:r>
            <w:r w:rsidR="00E205F4">
              <w:rPr>
                <w:rFonts w:eastAsia="Times New Roman"/>
                <w:sz w:val="20"/>
                <w:szCs w:val="20"/>
                <w:lang w:val="tr-TR" w:eastAsia="en-GB"/>
              </w:rPr>
              <w:t>Održavanje sistema. Investicioni troškovi, održavanje, cijena vode.</w:t>
            </w:r>
          </w:p>
          <w:p w14:paraId="27D9949F" w14:textId="77777777" w:rsidR="00E205F4" w:rsidRDefault="00E205F4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15. TEST II</w:t>
            </w:r>
          </w:p>
          <w:p w14:paraId="345320D5" w14:textId="77777777" w:rsidR="0021733A" w:rsidRPr="0021733A" w:rsidRDefault="0021733A" w:rsidP="0021733A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 w:rsidRPr="0021733A">
              <w:rPr>
                <w:rFonts w:eastAsia="Times New Roman"/>
                <w:sz w:val="20"/>
                <w:szCs w:val="20"/>
                <w:lang w:val="tr-TR" w:eastAsia="en-GB"/>
              </w:rPr>
              <w:t>Vježbe prate tematske jedinice obrađene na predavanjima/teoriji:</w:t>
            </w:r>
          </w:p>
          <w:p w14:paraId="741F53C2" w14:textId="1CC9F8C2" w:rsidR="0021733A" w:rsidRPr="0021733A" w:rsidRDefault="0021733A" w:rsidP="0021733A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 w:rsidRPr="0021733A">
              <w:rPr>
                <w:rFonts w:eastAsia="Times New Roman"/>
                <w:sz w:val="20"/>
                <w:szCs w:val="20"/>
                <w:lang w:val="tr-TR" w:eastAsia="en-GB"/>
              </w:rPr>
              <w:t>Ove vježbe su usklađene s temama koje su pokrivene na predavanjima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,</w:t>
            </w:r>
            <w:r w:rsidRPr="0021733A">
              <w:rPr>
                <w:rFonts w:eastAsia="Times New Roman"/>
                <w:sz w:val="20"/>
                <w:szCs w:val="20"/>
                <w:lang w:val="tr-TR" w:eastAsia="en-GB"/>
              </w:rPr>
              <w:t xml:space="preserve"> u teorijskom dijelu.</w:t>
            </w:r>
          </w:p>
          <w:p w14:paraId="7894BE46" w14:textId="1FA10FDF" w:rsidR="0021733A" w:rsidRPr="0021733A" w:rsidRDefault="0021733A" w:rsidP="0021733A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 w:rsidRPr="0021733A">
              <w:rPr>
                <w:rFonts w:eastAsia="Times New Roman"/>
                <w:sz w:val="20"/>
                <w:szCs w:val="20"/>
                <w:lang w:val="tr-TR" w:eastAsia="en-GB"/>
              </w:rPr>
              <w:t>Vježbe o demografskim projekcijama koristeći različite metode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, p</w:t>
            </w:r>
            <w:r w:rsidRPr="0021733A">
              <w:rPr>
                <w:rFonts w:eastAsia="Times New Roman"/>
                <w:sz w:val="20"/>
                <w:szCs w:val="20"/>
                <w:lang w:val="tr-TR" w:eastAsia="en-GB"/>
              </w:rPr>
              <w:t>rocjena maksimalnih protoka: mjesečnih, dnevnih i po satu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, </w:t>
            </w:r>
          </w:p>
          <w:p w14:paraId="7D547E9C" w14:textId="77777777" w:rsidR="0021733A" w:rsidRPr="0021733A" w:rsidRDefault="0021733A" w:rsidP="0021733A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 w:rsidRPr="0021733A">
              <w:rPr>
                <w:rFonts w:eastAsia="Times New Roman"/>
                <w:sz w:val="20"/>
                <w:szCs w:val="20"/>
                <w:lang w:val="tr-TR" w:eastAsia="en-GB"/>
              </w:rPr>
              <w:t>Vježbe vezane za transport, prijem, elevaciju, skladištenje, razgranatu mrežu i Hardy Cross metodu:</w:t>
            </w:r>
          </w:p>
          <w:p w14:paraId="20592893" w14:textId="0009B365" w:rsidR="0021733A" w:rsidRPr="00285CE3" w:rsidRDefault="00925AA7" w:rsidP="0021733A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V</w:t>
            </w:r>
            <w:r w:rsidR="0021733A" w:rsidRPr="0021733A">
              <w:rPr>
                <w:rFonts w:eastAsia="Times New Roman"/>
                <w:sz w:val="20"/>
                <w:szCs w:val="20"/>
                <w:lang w:val="tr-TR" w:eastAsia="en-GB"/>
              </w:rPr>
              <w:t>ježbe obuhvataju praktične primjere rada vodovodnih sustava, uključujući organizaciju, upravljanje gubicima vode, popravak i zamjenu cijevi te suočavanje s vodenim udarom.</w:t>
            </w:r>
          </w:p>
          <w:p w14:paraId="61275BDF" w14:textId="77777777" w:rsidR="00D33FF7" w:rsidRPr="00285CE3" w:rsidRDefault="00D33FF7" w:rsidP="00754C20">
            <w:pPr>
              <w:ind w:left="322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</w:p>
        </w:tc>
      </w:tr>
      <w:tr w:rsidR="008B1299" w:rsidRPr="00FF34F7" w14:paraId="5B00D4E7" w14:textId="77777777" w:rsidTr="00B0538A">
        <w:trPr>
          <w:trHeight w:val="1911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4CD7C80" w14:textId="77777777" w:rsidR="008B1299" w:rsidRPr="00285CE3" w:rsidRDefault="008B1299" w:rsidP="008B1299">
            <w:pPr>
              <w:tabs>
                <w:tab w:val="left" w:pos="1152"/>
              </w:tabs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285CE3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 xml:space="preserve">Ishodi učenja: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A2DE8CF" w14:textId="77777777" w:rsidR="00285CE3" w:rsidRPr="00285CE3" w:rsidRDefault="008B1299" w:rsidP="008B1299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Znanje: </w:t>
            </w:r>
            <w:r w:rsidR="00285CE3"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Planiranje i projektovanje sistema za vodosnabdijevanje. </w:t>
            </w:r>
          </w:p>
          <w:p w14:paraId="3E490A6B" w14:textId="77777777" w:rsidR="00285CE3" w:rsidRPr="00285CE3" w:rsidRDefault="00285CE3" w:rsidP="008B1299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</w:p>
          <w:p w14:paraId="13216DB6" w14:textId="77777777" w:rsidR="00285CE3" w:rsidRPr="000C7BDF" w:rsidRDefault="008B1299" w:rsidP="00285CE3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Vještine: </w:t>
            </w:r>
            <w:r w:rsidR="00285CE3"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>Upotreba literature, planske do</w:t>
            </w:r>
            <w:r w:rsidR="00285CE3"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kumentacije, kataloga i software-a za proračun i dimenzioniranje sistema za vodosnabdijevanje. </w:t>
            </w:r>
          </w:p>
          <w:p w14:paraId="047A937F" w14:textId="77777777" w:rsidR="00285CE3" w:rsidRPr="000C7BDF" w:rsidRDefault="00285CE3" w:rsidP="00285CE3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</w:p>
          <w:p w14:paraId="6D792156" w14:textId="61EB2F2F" w:rsidR="008B1299" w:rsidRPr="000C7BDF" w:rsidRDefault="008B1299" w:rsidP="00285CE3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Kompetencije: </w:t>
            </w:r>
            <w:r w:rsidR="00285CE3"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>Sposobnost učestvovanja</w:t>
            </w:r>
            <w:r w:rsidR="00706D91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u</w:t>
            </w:r>
            <w:r w:rsidR="00285CE3"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timskom i samostalnom radu</w:t>
            </w:r>
            <w:r w:rsidR="00706D91">
              <w:rPr>
                <w:rFonts w:eastAsia="Times New Roman" w:cs="Arial"/>
                <w:sz w:val="20"/>
                <w:szCs w:val="20"/>
                <w:lang w:val="tr-TR" w:eastAsia="hr-BA"/>
              </w:rPr>
              <w:t>,</w:t>
            </w:r>
            <w:r w:rsidR="00285CE3"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u svim fazama izrade tehničke dokumentacije i izgradnje građevina</w:t>
            </w:r>
            <w:r w:rsidR="00706D91">
              <w:rPr>
                <w:rFonts w:eastAsia="Times New Roman" w:cs="Arial"/>
                <w:sz w:val="20"/>
                <w:szCs w:val="20"/>
                <w:lang w:val="tr-TR" w:eastAsia="hr-BA"/>
              </w:rPr>
              <w:t>,</w:t>
            </w:r>
            <w:r w:rsidR="00285CE3"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u sklopu sistema vodosnabdijevanja. </w:t>
            </w:r>
          </w:p>
        </w:tc>
      </w:tr>
      <w:tr w:rsidR="008B1299" w:rsidRPr="004C1C35" w14:paraId="14DED87F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9F49B14" w14:textId="77777777" w:rsidR="008B1299" w:rsidRPr="004C1C35" w:rsidRDefault="008B1299" w:rsidP="008B1299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Metode izvođenja nastave</w:t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hr-HR" w:eastAsia="hr-BA"/>
              </w:rPr>
              <w:t>:</w:t>
            </w:r>
            <w:r w:rsidRPr="004C1C35"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7EE1D17" w14:textId="77777777" w:rsidR="008B1299" w:rsidRPr="004C1C35" w:rsidRDefault="00B0538A" w:rsidP="00B0538A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Predavanja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vježbe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(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uključujući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terenske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vježbe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)</w:t>
            </w:r>
          </w:p>
        </w:tc>
      </w:tr>
      <w:tr w:rsidR="008B1299" w:rsidRPr="00FF34F7" w14:paraId="055C60CD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4242B25" w14:textId="77777777" w:rsidR="008B1299" w:rsidRPr="00483B6A" w:rsidRDefault="008B1299" w:rsidP="008B1299">
            <w:pPr>
              <w:rPr>
                <w:rFonts w:eastAsia="Calibri"/>
                <w:color w:val="000000"/>
                <w:kern w:val="24"/>
                <w:sz w:val="20"/>
                <w:szCs w:val="20"/>
                <w:lang w:val="de-DE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lastRenderedPageBreak/>
              <w:t>Metode provjere znanja sa strukturom ocjene</w:t>
            </w:r>
            <w:r w:rsidRPr="004C1C35">
              <w:rPr>
                <w:rStyle w:val="FootnoteReference"/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footnoteReference w:id="1"/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hr-HR" w:eastAsia="hr-BA"/>
              </w:rPr>
              <w:t>:</w:t>
            </w:r>
            <w:r w:rsidRPr="00483B6A">
              <w:rPr>
                <w:rFonts w:eastAsia="Calibri"/>
                <w:color w:val="000000"/>
                <w:kern w:val="24"/>
                <w:sz w:val="20"/>
                <w:szCs w:val="20"/>
                <w:lang w:val="de-DE" w:eastAsia="hr-BA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538A78D" w14:textId="77777777" w:rsidR="008A0978" w:rsidRPr="00DA21AD" w:rsidRDefault="008A0978" w:rsidP="008A0978">
            <w:pPr>
              <w:numPr>
                <w:ilvl w:val="0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Format </w:t>
            </w: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ispita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1980B832" w14:textId="77777777" w:rsidR="008A0978" w:rsidRPr="00DA21AD" w:rsidRDefault="008A0978" w:rsidP="008A0978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se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provodi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u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pisanoj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formi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7A272642" w14:textId="77777777" w:rsidR="008A0978" w:rsidRPr="00DA21AD" w:rsidRDefault="008A0978" w:rsidP="008A0978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O</w:t>
            </w:r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cjena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znanja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vrši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se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tokom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semestra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putem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dva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testa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4AF3B8D9" w14:textId="77777777" w:rsidR="008A0978" w:rsidRPr="00DA21AD" w:rsidRDefault="008A0978" w:rsidP="008A0978">
            <w:pPr>
              <w:numPr>
                <w:ilvl w:val="0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Sadržaj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ispita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030734E0" w14:textId="77777777" w:rsidR="008A0978" w:rsidRPr="00DA21AD" w:rsidRDefault="008A0978" w:rsidP="008A0978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obuhvata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teoriju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praktične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probleme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vezane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dimenzioniranje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hidrauličke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izračune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jedinica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postrojenja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tretman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otpadnih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voda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(WWTP).</w:t>
            </w:r>
          </w:p>
          <w:p w14:paraId="46843943" w14:textId="4F150102" w:rsidR="008A0978" w:rsidRPr="00DA21AD" w:rsidRDefault="008A0978" w:rsidP="008A0978">
            <w:pPr>
              <w:numPr>
                <w:ilvl w:val="0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Uvjet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prolaz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5995888C" w14:textId="77777777" w:rsidR="008A0978" w:rsidRPr="00DA21AD" w:rsidRDefault="008A0978" w:rsidP="008A0978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Da bi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studenti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položili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moraju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postići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najmanje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55%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svakom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 od </w:t>
            </w:r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oba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testa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(Test I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Test II).</w:t>
            </w:r>
          </w:p>
          <w:p w14:paraId="58A43F18" w14:textId="1368861B" w:rsidR="008A0978" w:rsidRDefault="008A0978" w:rsidP="008A0978">
            <w:pPr>
              <w:numPr>
                <w:ilvl w:val="0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Ako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ne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ispune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ovaj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uvjet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izlaze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završni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koji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kombinira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gradivo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iz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oba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dijela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(Test I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Test II)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ili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dijela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koji student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nije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položio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30156C90" w14:textId="77777777" w:rsidR="008A0978" w:rsidRPr="00DA21AD" w:rsidRDefault="008A0978" w:rsidP="008A0978">
            <w:pPr>
              <w:numPr>
                <w:ilvl w:val="0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K</w:t>
            </w:r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onačn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a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ocjen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a</w:t>
            </w:r>
            <w:proofErr w:type="spellEnd"/>
            <w:r w:rsidRPr="00DA21AD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40F298EB" w14:textId="77777777" w:rsidR="008A0978" w:rsidRPr="00DA21AD" w:rsidRDefault="008A0978" w:rsidP="008A0978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Konačna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ocjena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uzima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u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obzir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bodove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osvojene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ispitu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bodove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osvojene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programskom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zadatku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>/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projektu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.”</w:t>
            </w:r>
          </w:p>
          <w:p w14:paraId="35E14996" w14:textId="69CA2E47" w:rsidR="008A0978" w:rsidRPr="00DA21AD" w:rsidRDefault="008A0978" w:rsidP="008A0978">
            <w:pPr>
              <w:numPr>
                <w:ilvl w:val="1"/>
                <w:numId w:val="6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Raspodjela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: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(</w:t>
            </w:r>
            <w:r>
              <w:rPr>
                <w:rFonts w:eastAsia="Times New Roman" w:cs="Arial"/>
                <w:sz w:val="20"/>
                <w:szCs w:val="20"/>
                <w:lang w:eastAsia="hr-BA"/>
              </w:rPr>
              <w:t>7</w:t>
            </w:r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0 b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odova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eastAsia="hr-BA"/>
              </w:rPr>
              <w:t>7</w:t>
            </w:r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0%) +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Programski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/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Projektni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 xml:space="preserve"> problem (20 </w:t>
            </w:r>
            <w:proofErr w:type="spellStart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bodova</w:t>
            </w:r>
            <w:proofErr w:type="spellEnd"/>
            <w:r w:rsidRPr="00DA21AD">
              <w:rPr>
                <w:rFonts w:eastAsia="Times New Roman" w:cs="Arial"/>
                <w:sz w:val="20"/>
                <w:szCs w:val="20"/>
                <w:lang w:eastAsia="hr-BA"/>
              </w:rPr>
              <w:t>, 20%)</w:t>
            </w:r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 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odbrana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te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seminarski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 rad (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grupa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) 10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bodova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5FC78C40" w14:textId="7ECF63E8" w:rsidR="001718D0" w:rsidRPr="007521F8" w:rsidRDefault="001718D0" w:rsidP="007F7807">
            <w:pPr>
              <w:rPr>
                <w:rFonts w:eastAsia="Times New Roman" w:cs="Arial"/>
                <w:sz w:val="20"/>
                <w:szCs w:val="20"/>
                <w:lang w:val="de-DE" w:eastAsia="hr-BA"/>
              </w:rPr>
            </w:pPr>
          </w:p>
        </w:tc>
      </w:tr>
      <w:tr w:rsidR="008B1299" w:rsidRPr="00FF34F7" w14:paraId="72041200" w14:textId="77777777" w:rsidTr="001718D0">
        <w:trPr>
          <w:trHeight w:val="1350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3FA3B04" w14:textId="77777777" w:rsidR="008B1299" w:rsidRPr="004C1C35" w:rsidRDefault="008B1299" w:rsidP="008B1299">
            <w:pPr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Literatura</w:t>
            </w:r>
            <w:r w:rsidRPr="004C1C35">
              <w:rPr>
                <w:rStyle w:val="FootnoteReference"/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footnoteReference w:id="2"/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:</w:t>
            </w:r>
            <w:r w:rsidRPr="004C1C35"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  <w:t xml:space="preserve"> </w:t>
            </w:r>
          </w:p>
          <w:p w14:paraId="71B6D82D" w14:textId="77777777" w:rsidR="008B1299" w:rsidRPr="004C1C35" w:rsidRDefault="008B1299" w:rsidP="008B1299">
            <w:pPr>
              <w:rPr>
                <w:rFonts w:eastAsia="Times New Roman" w:cs="Arial"/>
                <w:b/>
                <w:i/>
                <w:sz w:val="20"/>
                <w:szCs w:val="20"/>
                <w:lang w:eastAsia="hr-BA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E901A61" w14:textId="77777777" w:rsidR="001718D0" w:rsidRDefault="001718D0" w:rsidP="008A0978">
            <w:pPr>
              <w:pStyle w:val="tabela44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A37A09">
              <w:rPr>
                <w:sz w:val="18"/>
                <w:szCs w:val="18"/>
              </w:rPr>
              <w:t xml:space="preserve">Margeta, J. </w:t>
            </w:r>
            <w:r w:rsidRPr="00A37A09">
              <w:rPr>
                <w:i/>
                <w:sz w:val="18"/>
                <w:szCs w:val="18"/>
              </w:rPr>
              <w:t>Vodoopskrba naselja</w:t>
            </w:r>
            <w:r w:rsidRPr="00A37A09">
              <w:rPr>
                <w:sz w:val="18"/>
                <w:szCs w:val="18"/>
              </w:rPr>
              <w:t>, AG fakultet Univerziteta u</w:t>
            </w:r>
            <w:r>
              <w:rPr>
                <w:sz w:val="18"/>
                <w:szCs w:val="18"/>
              </w:rPr>
              <w:t xml:space="preserve"> Splitu, 2012</w:t>
            </w:r>
            <w:r w:rsidRPr="00A37A09">
              <w:rPr>
                <w:sz w:val="18"/>
                <w:szCs w:val="18"/>
              </w:rPr>
              <w:t>.</w:t>
            </w:r>
          </w:p>
          <w:p w14:paraId="3D636F7A" w14:textId="67EFEB6C" w:rsidR="008A0978" w:rsidRDefault="008A0978" w:rsidP="008A0978">
            <w:pPr>
              <w:pStyle w:val="tabela44"/>
              <w:numPr>
                <w:ilvl w:val="0"/>
                <w:numId w:val="0"/>
              </w:numPr>
              <w:ind w:left="477" w:hanging="3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Dopunska literatura:</w:t>
            </w:r>
          </w:p>
          <w:p w14:paraId="55FD8217" w14:textId="77777777" w:rsidR="008A0978" w:rsidRPr="00266EA3" w:rsidRDefault="008A0978" w:rsidP="008A0978">
            <w:pPr>
              <w:pStyle w:val="tabela44"/>
              <w:numPr>
                <w:ilvl w:val="0"/>
                <w:numId w:val="5"/>
              </w:numPr>
              <w:rPr>
                <w:rFonts w:ascii="Cambria" w:hAnsi="Cambria"/>
                <w:noProof w:val="0"/>
                <w:szCs w:val="20"/>
                <w:lang w:val="en-GB" w:eastAsia="en-GB"/>
              </w:rPr>
            </w:pPr>
            <w:r w:rsidRPr="00266EA3">
              <w:rPr>
                <w:rFonts w:ascii="Cambria" w:hAnsi="Cambria"/>
                <w:noProof w:val="0"/>
                <w:szCs w:val="20"/>
                <w:lang w:val="en-GB" w:eastAsia="en-GB"/>
              </w:rPr>
              <w:t>Trifunovic, Nemanja. </w:t>
            </w:r>
            <w:r w:rsidRPr="00266EA3">
              <w:rPr>
                <w:rFonts w:ascii="Cambria" w:hAnsi="Cambria"/>
                <w:i/>
                <w:iCs/>
                <w:noProof w:val="0"/>
                <w:szCs w:val="20"/>
                <w:lang w:val="en-GB" w:eastAsia="en-GB"/>
              </w:rPr>
              <w:t>Introduction to Urban Water Distribution</w:t>
            </w:r>
            <w:r w:rsidRPr="00266EA3">
              <w:rPr>
                <w:rFonts w:ascii="Cambria" w:hAnsi="Cambria"/>
                <w:noProof w:val="0"/>
                <w:szCs w:val="20"/>
                <w:lang w:val="en-GB" w:eastAsia="en-GB"/>
              </w:rPr>
              <w:t>: Theory, CRC Press, 2020.</w:t>
            </w:r>
          </w:p>
          <w:p w14:paraId="4150DB65" w14:textId="7974825F" w:rsidR="008A0978" w:rsidRPr="00A37A09" w:rsidRDefault="008A0978" w:rsidP="008A0978">
            <w:pPr>
              <w:pStyle w:val="tabela44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266EA3">
              <w:rPr>
                <w:rFonts w:ascii="Cambria" w:hAnsi="Cambria"/>
                <w:noProof w:val="0"/>
                <w:szCs w:val="20"/>
                <w:lang w:val="en-GB" w:eastAsia="en-GB"/>
              </w:rPr>
              <w:t>Trifunovic, Nemanja. </w:t>
            </w:r>
            <w:r w:rsidRPr="00266EA3">
              <w:rPr>
                <w:rFonts w:ascii="Cambria" w:hAnsi="Cambria"/>
                <w:i/>
                <w:iCs/>
                <w:noProof w:val="0"/>
                <w:szCs w:val="20"/>
                <w:lang w:val="en-GB" w:eastAsia="en-GB"/>
              </w:rPr>
              <w:t>Introduction to Urban Water Distribution</w:t>
            </w:r>
            <w:r w:rsidRPr="00266EA3">
              <w:rPr>
                <w:rFonts w:ascii="Cambria" w:hAnsi="Cambria"/>
                <w:noProof w:val="0"/>
                <w:szCs w:val="20"/>
                <w:lang w:val="en-GB" w:eastAsia="en-GB"/>
              </w:rPr>
              <w:t>: Problems &amp; Exercises. CRC Press, 2020.</w:t>
            </w:r>
          </w:p>
          <w:p w14:paraId="4950C199" w14:textId="77777777" w:rsidR="001718D0" w:rsidRDefault="001718D0" w:rsidP="008A0978">
            <w:pPr>
              <w:pStyle w:val="tabela44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A37A09">
              <w:rPr>
                <w:sz w:val="18"/>
                <w:szCs w:val="18"/>
              </w:rPr>
              <w:t xml:space="preserve">Ćorović A.: </w:t>
            </w:r>
            <w:r w:rsidRPr="00A37A09">
              <w:rPr>
                <w:i/>
                <w:sz w:val="18"/>
                <w:szCs w:val="18"/>
              </w:rPr>
              <w:t>Snabdijevanje vodom</w:t>
            </w:r>
            <w:r w:rsidRPr="00A37A09">
              <w:rPr>
                <w:sz w:val="18"/>
                <w:szCs w:val="18"/>
              </w:rPr>
              <w:t>, Građevinski fakultet u Sarajevu, 1989.</w:t>
            </w:r>
          </w:p>
          <w:p w14:paraId="3A1FD390" w14:textId="77777777" w:rsidR="0086371C" w:rsidRPr="001718D0" w:rsidRDefault="001718D0" w:rsidP="008A0978">
            <w:pPr>
              <w:pStyle w:val="tabela44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1718D0">
              <w:rPr>
                <w:sz w:val="18"/>
                <w:szCs w:val="18"/>
              </w:rPr>
              <w:t>Ljubisavljević et al., Komunalna hidrotehnika - primjeri iz teorije i prakse, GF Beogradu,2001.</w:t>
            </w:r>
          </w:p>
        </w:tc>
      </w:tr>
    </w:tbl>
    <w:p w14:paraId="21339046" w14:textId="77777777" w:rsidR="0007767A" w:rsidRPr="001718D0" w:rsidRDefault="0007767A">
      <w:pPr>
        <w:rPr>
          <w:lang w:val="hr-HR"/>
        </w:rPr>
      </w:pPr>
    </w:p>
    <w:p w14:paraId="52329416" w14:textId="77777777" w:rsidR="0007767A" w:rsidRPr="001718D0" w:rsidRDefault="0007767A">
      <w:pPr>
        <w:rPr>
          <w:lang w:val="hr-HR"/>
        </w:rPr>
      </w:pPr>
    </w:p>
    <w:p w14:paraId="7967F4D8" w14:textId="77777777" w:rsidR="0007767A" w:rsidRPr="001718D0" w:rsidRDefault="0007767A">
      <w:pPr>
        <w:rPr>
          <w:lang w:val="hr-HR"/>
        </w:rPr>
      </w:pPr>
    </w:p>
    <w:p w14:paraId="2428EF0B" w14:textId="77777777" w:rsidR="0007767A" w:rsidRPr="001718D0" w:rsidRDefault="0007767A">
      <w:pPr>
        <w:rPr>
          <w:lang w:val="hr-HR"/>
        </w:rPr>
      </w:pPr>
    </w:p>
    <w:p w14:paraId="5167341D" w14:textId="77777777" w:rsidR="0007767A" w:rsidRPr="001718D0" w:rsidRDefault="0007767A">
      <w:pPr>
        <w:rPr>
          <w:lang w:val="hr-HR"/>
        </w:rPr>
      </w:pPr>
    </w:p>
    <w:p w14:paraId="7F47226F" w14:textId="77777777" w:rsidR="0007767A" w:rsidRPr="001718D0" w:rsidRDefault="0007767A">
      <w:pPr>
        <w:rPr>
          <w:lang w:val="hr-HR"/>
        </w:rPr>
      </w:pPr>
    </w:p>
    <w:p w14:paraId="6700FDB9" w14:textId="77777777" w:rsidR="0007767A" w:rsidRPr="001718D0" w:rsidRDefault="0007767A">
      <w:pPr>
        <w:rPr>
          <w:lang w:val="hr-HR"/>
        </w:rPr>
      </w:pPr>
    </w:p>
    <w:p w14:paraId="2C1296B9" w14:textId="77777777" w:rsidR="0007767A" w:rsidRPr="001718D0" w:rsidRDefault="0007767A">
      <w:pPr>
        <w:rPr>
          <w:lang w:val="hr-HR"/>
        </w:rPr>
      </w:pPr>
    </w:p>
    <w:p w14:paraId="602CFBFD" w14:textId="77777777" w:rsidR="0007767A" w:rsidRPr="001718D0" w:rsidRDefault="0007767A">
      <w:pPr>
        <w:rPr>
          <w:lang w:val="hr-HR"/>
        </w:rPr>
      </w:pPr>
    </w:p>
    <w:p w14:paraId="38CC0F5F" w14:textId="77777777" w:rsidR="0007767A" w:rsidRPr="001718D0" w:rsidRDefault="0007767A">
      <w:pPr>
        <w:rPr>
          <w:lang w:val="hr-HR"/>
        </w:rPr>
      </w:pPr>
    </w:p>
    <w:p w14:paraId="07769006" w14:textId="77777777" w:rsidR="00A27A18" w:rsidRPr="001718D0" w:rsidRDefault="00A27A18">
      <w:pPr>
        <w:rPr>
          <w:lang w:val="hr-HR"/>
        </w:rPr>
      </w:pPr>
    </w:p>
    <w:p w14:paraId="6A7FE7DB" w14:textId="77777777" w:rsidR="00A27A18" w:rsidRPr="001718D0" w:rsidRDefault="00A27A18">
      <w:pPr>
        <w:rPr>
          <w:lang w:val="hr-HR"/>
        </w:rPr>
      </w:pPr>
    </w:p>
    <w:p w14:paraId="47EEA6CF" w14:textId="77777777" w:rsidR="00A27A18" w:rsidRPr="001718D0" w:rsidRDefault="00A27A18">
      <w:pPr>
        <w:rPr>
          <w:lang w:val="hr-HR"/>
        </w:rPr>
      </w:pPr>
    </w:p>
    <w:sectPr w:rsidR="00A27A18" w:rsidRPr="001718D0" w:rsidSect="00156B78"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480EF" w14:textId="77777777" w:rsidR="002211A2" w:rsidRDefault="002211A2" w:rsidP="00156B78">
      <w:r>
        <w:separator/>
      </w:r>
    </w:p>
  </w:endnote>
  <w:endnote w:type="continuationSeparator" w:id="0">
    <w:p w14:paraId="2407D6E4" w14:textId="77777777" w:rsidR="002211A2" w:rsidRDefault="002211A2" w:rsidP="0015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NAHJ+TimesNewRoma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D10CA" w14:textId="77777777" w:rsidR="002211A2" w:rsidRDefault="002211A2" w:rsidP="00156B78">
      <w:r>
        <w:separator/>
      </w:r>
    </w:p>
  </w:footnote>
  <w:footnote w:type="continuationSeparator" w:id="0">
    <w:p w14:paraId="0DE2F758" w14:textId="77777777" w:rsidR="002211A2" w:rsidRDefault="002211A2" w:rsidP="00156B78">
      <w:r>
        <w:continuationSeparator/>
      </w:r>
    </w:p>
  </w:footnote>
  <w:footnote w:id="1">
    <w:p w14:paraId="2F55AE7A" w14:textId="77777777" w:rsidR="008B1299" w:rsidRPr="00156B78" w:rsidRDefault="008B1299" w:rsidP="00156B78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Struktura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bodova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bodovni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kriterij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za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svaki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nastavni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 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predmet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utvrduje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vijece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organizacione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jedinice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prije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pocetka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studijske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godine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u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kojoj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se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izvodi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iz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nastavnog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 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predmeta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u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skladu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clanom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64. st.6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Zakona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o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visokom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obrazovanju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Kantona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Sarajevo</w:t>
      </w:r>
    </w:p>
  </w:footnote>
  <w:footnote w:id="2">
    <w:p w14:paraId="05134FD9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  <w:r>
        <w:rPr>
          <w:rStyle w:val="FootnoteReference"/>
        </w:rPr>
        <w:footnoteRef/>
      </w:r>
      <w:r w:rsidRPr="003C09F1">
        <w:rPr>
          <w:lang w:val="bs-Latn-BA"/>
        </w:rPr>
        <w:t xml:space="preserve"> </w:t>
      </w:r>
      <w:r w:rsidRPr="003C09F1"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  <w:t xml:space="preserve">Senat visokoškolske ustanove kao ustanove odnosno vijece organizacione jedinice visokoškolske ustanove kao javne ustanove, utvrduje obavezne i preporučene udžbenike i priručnike, kao i drugu preporucenu literaturu na osnovu koje se priprema i polaže ispit posebnom odlukom koju obavezno objavljuje na svojoj internet stranici prije početka studijske godine u skladu sa članom 56. st 3. </w:t>
      </w:r>
      <w:r w:rsidRPr="00754C20"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  <w:t>Zakona o visokom obrazovanju Kantona Sarajevo</w:t>
      </w:r>
    </w:p>
    <w:p w14:paraId="50EADCEC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5D2A2033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342235E5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1F7A6537" w14:textId="77777777" w:rsidR="008B1299" w:rsidRPr="00156B78" w:rsidRDefault="008B1299" w:rsidP="00156B78">
      <w:pPr>
        <w:pStyle w:val="FootnoteText"/>
        <w:jc w:val="both"/>
        <w:rPr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7395"/>
      <w:gridCol w:w="1661"/>
    </w:tblGrid>
    <w:tr w:rsidR="00156B78" w14:paraId="1E4B162C" w14:textId="77777777" w:rsidTr="009933DF">
      <w:trPr>
        <w:cantSplit/>
        <w:trHeight w:val="56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8C28F1" w14:textId="43CF6252" w:rsidR="00156B78" w:rsidRPr="001F44D8" w:rsidRDefault="00156B78" w:rsidP="009933DF">
          <w:pPr>
            <w:jc w:val="center"/>
            <w:rPr>
              <w:rFonts w:ascii="Calibri" w:hAnsi="Calibri" w:cs="Calibri"/>
              <w:b/>
              <w:caps/>
              <w:color w:val="7F7F7F"/>
              <w:sz w:val="16"/>
              <w:lang w:val="de-DE"/>
            </w:rPr>
          </w:pPr>
          <w:r w:rsidRPr="001F44D8">
            <w:rPr>
              <w:rFonts w:ascii="Calibri" w:hAnsi="Calibri" w:cs="Calibri"/>
              <w:b/>
              <w:color w:val="7F7F7F"/>
              <w:lang w:val="de-DE"/>
            </w:rPr>
            <w:t xml:space="preserve">UNIVERZITET U SARAJEVU – </w:t>
          </w:r>
          <w:r w:rsidR="00706D91">
            <w:rPr>
              <w:rFonts w:ascii="Calibri" w:hAnsi="Calibri" w:cs="Calibri"/>
              <w:b/>
              <w:color w:val="7F7F7F"/>
              <w:lang w:val="de-DE"/>
            </w:rPr>
            <w:t>Građevinski fakultet</w:t>
          </w:r>
        </w:p>
        <w:p w14:paraId="7F0B80F6" w14:textId="1F9AE071" w:rsidR="00156B78" w:rsidRPr="00ED5C2C" w:rsidRDefault="00706D91" w:rsidP="00156B78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proofErr w:type="spellStart"/>
          <w:r>
            <w:rPr>
              <w:rFonts w:ascii="Calibri" w:hAnsi="Calibri" w:cs="Calibri"/>
              <w:b/>
              <w:sz w:val="28"/>
              <w:szCs w:val="28"/>
            </w:rPr>
            <w:t>Vodosnabdijevanje</w:t>
          </w:r>
          <w:proofErr w:type="spellEnd"/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75F4E48" w14:textId="77777777" w:rsidR="00156B78" w:rsidRPr="00ED5C2C" w:rsidRDefault="00156B78" w:rsidP="00156B78">
          <w:pPr>
            <w:jc w:val="center"/>
            <w:rPr>
              <w:rFonts w:ascii="Calibri" w:hAnsi="Calibri" w:cs="Calibri"/>
              <w:b/>
              <w:color w:val="4F81BD"/>
            </w:rPr>
          </w:pPr>
          <w:proofErr w:type="spellStart"/>
          <w:r w:rsidRPr="008F449E">
            <w:rPr>
              <w:rFonts w:ascii="Calibri" w:hAnsi="Calibri" w:cs="Calibri"/>
              <w:b/>
              <w:color w:val="4F81BD"/>
              <w:sz w:val="22"/>
            </w:rPr>
            <w:t>Obrazac</w:t>
          </w:r>
          <w:proofErr w:type="spellEnd"/>
          <w:r w:rsidRPr="008F449E">
            <w:rPr>
              <w:rFonts w:ascii="Calibri" w:hAnsi="Calibri" w:cs="Calibri"/>
              <w:b/>
              <w:color w:val="4F81BD"/>
              <w:sz w:val="22"/>
            </w:rPr>
            <w:t xml:space="preserve"> SP</w:t>
          </w:r>
          <w:r>
            <w:rPr>
              <w:rFonts w:ascii="Calibri" w:hAnsi="Calibri" w:cs="Calibri"/>
              <w:b/>
              <w:color w:val="4F81BD"/>
              <w:sz w:val="22"/>
            </w:rPr>
            <w:t>2</w:t>
          </w:r>
        </w:p>
      </w:tc>
    </w:tr>
    <w:tr w:rsidR="00156B78" w14:paraId="487C8BB6" w14:textId="77777777" w:rsidTr="009933DF">
      <w:trPr>
        <w:cantSplit/>
        <w:trHeight w:val="416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9E4CC2" w14:textId="77777777" w:rsidR="00156B78" w:rsidRDefault="00156B78" w:rsidP="009933DF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37FD9" w14:textId="77777777" w:rsidR="00156B78" w:rsidRPr="00ED5C2C" w:rsidRDefault="00156B78" w:rsidP="009933DF">
          <w:pPr>
            <w:pStyle w:val="Footer"/>
            <w:jc w:val="center"/>
            <w:rPr>
              <w:rFonts w:ascii="Calibri" w:hAnsi="Calibri" w:cs="Calibri"/>
            </w:rPr>
          </w:pPr>
          <w:proofErr w:type="spellStart"/>
          <w:r w:rsidRPr="008F449E">
            <w:rPr>
              <w:rFonts w:ascii="Calibri" w:hAnsi="Calibri" w:cs="Calibri"/>
              <w:sz w:val="20"/>
            </w:rPr>
            <w:t>Stranica</w:t>
          </w:r>
          <w:proofErr w:type="spellEnd"/>
          <w:r w:rsidRPr="008F449E">
            <w:rPr>
              <w:rFonts w:ascii="Calibri" w:hAnsi="Calibri" w:cs="Calibri"/>
              <w:sz w:val="20"/>
            </w:rPr>
            <w:t xml:space="preserve">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FF34F7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8F449E">
            <w:rPr>
              <w:rFonts w:ascii="Calibri" w:hAnsi="Calibri" w:cs="Calibri"/>
              <w:sz w:val="20"/>
            </w:rPr>
            <w:t xml:space="preserve"> od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FF34F7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14:paraId="6D08A3E6" w14:textId="77777777" w:rsidR="00156B78" w:rsidRDefault="00156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68906" w14:textId="77777777" w:rsidR="00156B78" w:rsidRDefault="00156B78" w:rsidP="00156B78">
    <w:pPr>
      <w:pStyle w:val="Header"/>
      <w:tabs>
        <w:tab w:val="clear" w:pos="4536"/>
        <w:tab w:val="clear" w:pos="9072"/>
        <w:tab w:val="left" w:pos="1144"/>
      </w:tabs>
    </w:pPr>
    <w:r>
      <w:tab/>
    </w:r>
  </w:p>
  <w:tbl>
    <w:tblPr>
      <w:tblW w:w="4945" w:type="pct"/>
      <w:tblLook w:val="01E0" w:firstRow="1" w:lastRow="1" w:firstColumn="1" w:lastColumn="1" w:noHBand="0" w:noVBand="0"/>
    </w:tblPr>
    <w:tblGrid>
      <w:gridCol w:w="7396"/>
      <w:gridCol w:w="1560"/>
    </w:tblGrid>
    <w:tr w:rsidR="00156B78" w14:paraId="451BF612" w14:textId="77777777" w:rsidTr="00156B78">
      <w:trPr>
        <w:cantSplit/>
        <w:trHeight w:val="834"/>
      </w:trPr>
      <w:tc>
        <w:tcPr>
          <w:tcW w:w="412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D236BD9" w14:textId="77777777" w:rsidR="00156B78" w:rsidRPr="001F44D8" w:rsidRDefault="00604AE9" w:rsidP="009933DF">
          <w:pPr>
            <w:rPr>
              <w:rFonts w:ascii="Calibri" w:hAnsi="Calibri" w:cs="Calibri"/>
              <w:b/>
              <w:color w:val="7F7F7F"/>
              <w:sz w:val="16"/>
              <w:lang w:val="de-DE"/>
            </w:rPr>
          </w:pPr>
          <w:r>
            <w:rPr>
              <w:rFonts w:ascii="Calibri" w:hAnsi="Calibri" w:cs="Calibri"/>
              <w:b/>
              <w:noProof/>
              <w:sz w:val="16"/>
              <w:lang w:val="en-GB" w:eastAsia="en-GB"/>
            </w:rPr>
            <w:drawing>
              <wp:inline distT="0" distB="0" distL="0" distR="0" wp14:anchorId="29C32A1D" wp14:editId="3F335521">
                <wp:extent cx="809625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1" r="38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6B78" w:rsidRPr="001F44D8">
            <w:rPr>
              <w:rFonts w:ascii="Calibri" w:hAnsi="Calibri" w:cs="Calibri"/>
              <w:b/>
              <w:sz w:val="16"/>
              <w:lang w:val="de-DE"/>
            </w:rPr>
            <w:t xml:space="preserve">                                                                                                                  </w:t>
          </w:r>
          <w:r w:rsidR="00156B78" w:rsidRPr="001F44D8">
            <w:rPr>
              <w:rFonts w:ascii="Calibri" w:hAnsi="Calibri" w:cs="Calibri"/>
              <w:b/>
              <w:color w:val="7F7F7F"/>
              <w:sz w:val="16"/>
              <w:lang w:val="de-DE"/>
            </w:rPr>
            <w:t>Logo fakulteta/akademije</w:t>
          </w:r>
        </w:p>
        <w:p w14:paraId="22ED0DF2" w14:textId="77777777" w:rsidR="00AC244E" w:rsidRDefault="00156B78" w:rsidP="00AC244E">
          <w:pPr>
            <w:jc w:val="center"/>
            <w:rPr>
              <w:rFonts w:ascii="Calibri" w:hAnsi="Calibri" w:cs="Calibri"/>
              <w:b/>
              <w:color w:val="7F7F7F"/>
              <w:lang w:val="de-DE"/>
            </w:rPr>
          </w:pPr>
          <w:r w:rsidRPr="001F44D8">
            <w:rPr>
              <w:rFonts w:ascii="Calibri" w:hAnsi="Calibri" w:cs="Calibri"/>
              <w:b/>
              <w:color w:val="7F7F7F"/>
              <w:lang w:val="de-DE"/>
            </w:rPr>
            <w:t xml:space="preserve">UNIVERZITET U SARAJEVU – </w:t>
          </w:r>
          <w:r w:rsidR="00AC244E">
            <w:rPr>
              <w:rFonts w:ascii="Calibri" w:hAnsi="Calibri" w:cs="Calibri"/>
              <w:b/>
              <w:color w:val="7F7F7F"/>
              <w:lang w:val="de-DE"/>
            </w:rPr>
            <w:t>GRAĐEVINSKI FAKULTET</w:t>
          </w:r>
        </w:p>
        <w:p w14:paraId="62C07891" w14:textId="1BF4A633" w:rsidR="00156B78" w:rsidRPr="00AC244E" w:rsidRDefault="00706D91" w:rsidP="00706D91">
          <w:pPr>
            <w:jc w:val="center"/>
            <w:rPr>
              <w:rFonts w:ascii="Calibri" w:hAnsi="Calibri" w:cs="Calibri"/>
              <w:b/>
              <w:sz w:val="28"/>
              <w:szCs w:val="28"/>
              <w:lang w:val="de-DE"/>
            </w:rPr>
          </w:pPr>
          <w:r>
            <w:rPr>
              <w:rFonts w:ascii="Calibri" w:hAnsi="Calibri" w:cs="Calibri"/>
              <w:b/>
              <w:sz w:val="28"/>
              <w:szCs w:val="28"/>
              <w:lang w:val="de-DE"/>
            </w:rPr>
            <w:t>Vodosnabdijevanje</w:t>
          </w:r>
        </w:p>
      </w:tc>
      <w:tc>
        <w:tcPr>
          <w:tcW w:w="87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DE3ECD" w14:textId="77777777" w:rsidR="00156B78" w:rsidRPr="00ED5C2C" w:rsidRDefault="00156B78" w:rsidP="00156B78">
          <w:pPr>
            <w:jc w:val="center"/>
            <w:rPr>
              <w:rFonts w:ascii="Calibri" w:hAnsi="Calibri" w:cs="Calibri"/>
              <w:b/>
              <w:color w:val="4F81BD"/>
            </w:rPr>
          </w:pPr>
          <w:proofErr w:type="spellStart"/>
          <w:r w:rsidRPr="008F449E">
            <w:rPr>
              <w:rFonts w:ascii="Calibri" w:hAnsi="Calibri" w:cs="Calibri"/>
              <w:b/>
              <w:color w:val="4F81BD"/>
              <w:sz w:val="22"/>
            </w:rPr>
            <w:t>Obrazac</w:t>
          </w:r>
          <w:proofErr w:type="spellEnd"/>
          <w:r w:rsidRPr="008F449E">
            <w:rPr>
              <w:rFonts w:ascii="Calibri" w:hAnsi="Calibri" w:cs="Calibri"/>
              <w:b/>
              <w:color w:val="4F81BD"/>
              <w:sz w:val="22"/>
            </w:rPr>
            <w:t xml:space="preserve"> SP</w:t>
          </w:r>
          <w:r>
            <w:rPr>
              <w:rFonts w:ascii="Calibri" w:hAnsi="Calibri" w:cs="Calibri"/>
              <w:b/>
              <w:color w:val="4F81BD"/>
              <w:sz w:val="22"/>
            </w:rPr>
            <w:t>2</w:t>
          </w:r>
        </w:p>
      </w:tc>
    </w:tr>
    <w:tr w:rsidR="00156B78" w14:paraId="096D0881" w14:textId="77777777" w:rsidTr="00156B78">
      <w:trPr>
        <w:cantSplit/>
        <w:trHeight w:val="420"/>
      </w:trPr>
      <w:tc>
        <w:tcPr>
          <w:tcW w:w="412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BBE1D6" w14:textId="77777777" w:rsidR="00156B78" w:rsidRDefault="00156B78" w:rsidP="009933DF">
          <w:pPr>
            <w:jc w:val="center"/>
            <w:rPr>
              <w:b/>
            </w:rPr>
          </w:pPr>
        </w:p>
      </w:tc>
      <w:tc>
        <w:tcPr>
          <w:tcW w:w="8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D3ABA8" w14:textId="77777777" w:rsidR="00156B78" w:rsidRPr="00ED5C2C" w:rsidRDefault="00156B78" w:rsidP="009933DF">
          <w:pPr>
            <w:pStyle w:val="Footer"/>
            <w:jc w:val="center"/>
            <w:rPr>
              <w:rFonts w:ascii="Calibri" w:hAnsi="Calibri" w:cs="Calibri"/>
            </w:rPr>
          </w:pPr>
          <w:proofErr w:type="spellStart"/>
          <w:r w:rsidRPr="008F449E">
            <w:rPr>
              <w:rFonts w:ascii="Calibri" w:hAnsi="Calibri" w:cs="Calibri"/>
              <w:sz w:val="20"/>
            </w:rPr>
            <w:t>Stranica</w:t>
          </w:r>
          <w:proofErr w:type="spellEnd"/>
          <w:r w:rsidRPr="008F449E">
            <w:rPr>
              <w:rFonts w:ascii="Calibri" w:hAnsi="Calibri" w:cs="Calibri"/>
              <w:sz w:val="20"/>
            </w:rPr>
            <w:t xml:space="preserve">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FF34F7">
            <w:rPr>
              <w:rFonts w:ascii="Calibri" w:hAnsi="Calibri" w:cs="Calibri"/>
              <w:b/>
              <w:bCs/>
              <w:noProof/>
              <w:sz w:val="20"/>
            </w:rPr>
            <w:t>1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8F449E">
            <w:rPr>
              <w:rFonts w:ascii="Calibri" w:hAnsi="Calibri" w:cs="Calibri"/>
              <w:sz w:val="20"/>
            </w:rPr>
            <w:t xml:space="preserve"> od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FF34F7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14:paraId="36EBE061" w14:textId="77777777" w:rsidR="00156B78" w:rsidRDefault="00156B78" w:rsidP="00156B78">
    <w:pPr>
      <w:pStyle w:val="Header"/>
      <w:tabs>
        <w:tab w:val="clear" w:pos="4536"/>
        <w:tab w:val="clear" w:pos="9072"/>
        <w:tab w:val="left" w:pos="11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1FFD"/>
    <w:multiLevelType w:val="hybridMultilevel"/>
    <w:tmpl w:val="E81278C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A20F2"/>
    <w:multiLevelType w:val="multilevel"/>
    <w:tmpl w:val="5072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E65AE"/>
    <w:multiLevelType w:val="hybridMultilevel"/>
    <w:tmpl w:val="41EC484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BF0"/>
    <w:multiLevelType w:val="hybridMultilevel"/>
    <w:tmpl w:val="5B74EAB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71163438"/>
    <w:multiLevelType w:val="hybridMultilevel"/>
    <w:tmpl w:val="91C22AE2"/>
    <w:lvl w:ilvl="0" w:tplc="FA3A4500">
      <w:start w:val="1"/>
      <w:numFmt w:val="decimal"/>
      <w:pStyle w:val="tabela44"/>
      <w:lvlText w:val="%1."/>
      <w:lvlJc w:val="left"/>
      <w:pPr>
        <w:tabs>
          <w:tab w:val="num" w:pos="480"/>
        </w:tabs>
        <w:ind w:left="477" w:hanging="357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F40732"/>
    <w:multiLevelType w:val="hybridMultilevel"/>
    <w:tmpl w:val="6D2C9694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63529"/>
    <w:multiLevelType w:val="hybridMultilevel"/>
    <w:tmpl w:val="C07CD802"/>
    <w:lvl w:ilvl="0" w:tplc="CF3CE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NAHJ+TimesNewRoman" w:eastAsia="Times New Roman" w:hAnsi="IBNAHJ+TimesNewRoman" w:cs="IBNAHJ+TimesNew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718717">
    <w:abstractNumId w:val="6"/>
  </w:num>
  <w:num w:numId="2" w16cid:durableId="1870557859">
    <w:abstractNumId w:val="0"/>
  </w:num>
  <w:num w:numId="3" w16cid:durableId="1938632855">
    <w:abstractNumId w:val="2"/>
  </w:num>
  <w:num w:numId="4" w16cid:durableId="132330923">
    <w:abstractNumId w:val="4"/>
  </w:num>
  <w:num w:numId="5" w16cid:durableId="1088696723">
    <w:abstractNumId w:val="3"/>
  </w:num>
  <w:num w:numId="6" w16cid:durableId="1111246121">
    <w:abstractNumId w:val="1"/>
  </w:num>
  <w:num w:numId="7" w16cid:durableId="153304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C2"/>
    <w:rsid w:val="0007767A"/>
    <w:rsid w:val="0009306E"/>
    <w:rsid w:val="000C0AF0"/>
    <w:rsid w:val="000C7BDF"/>
    <w:rsid w:val="00156B78"/>
    <w:rsid w:val="001718D0"/>
    <w:rsid w:val="001F44D8"/>
    <w:rsid w:val="002171D2"/>
    <w:rsid w:val="0021733A"/>
    <w:rsid w:val="002175FF"/>
    <w:rsid w:val="002211A2"/>
    <w:rsid w:val="00285CE3"/>
    <w:rsid w:val="002C49A7"/>
    <w:rsid w:val="002D7204"/>
    <w:rsid w:val="00342B76"/>
    <w:rsid w:val="00356ADB"/>
    <w:rsid w:val="00370C2B"/>
    <w:rsid w:val="003C09F1"/>
    <w:rsid w:val="003F6DB5"/>
    <w:rsid w:val="00416D18"/>
    <w:rsid w:val="00435D99"/>
    <w:rsid w:val="00483B6A"/>
    <w:rsid w:val="00490B6D"/>
    <w:rsid w:val="00493BC0"/>
    <w:rsid w:val="004C1C35"/>
    <w:rsid w:val="004E6D2B"/>
    <w:rsid w:val="00600E84"/>
    <w:rsid w:val="00604AE9"/>
    <w:rsid w:val="00617573"/>
    <w:rsid w:val="0062089C"/>
    <w:rsid w:val="00684A17"/>
    <w:rsid w:val="006C02D8"/>
    <w:rsid w:val="00706D91"/>
    <w:rsid w:val="007521F8"/>
    <w:rsid w:val="00754C20"/>
    <w:rsid w:val="0077783B"/>
    <w:rsid w:val="007B19EA"/>
    <w:rsid w:val="007B1E86"/>
    <w:rsid w:val="007C557B"/>
    <w:rsid w:val="007F7807"/>
    <w:rsid w:val="0086371C"/>
    <w:rsid w:val="008A0978"/>
    <w:rsid w:val="008B1299"/>
    <w:rsid w:val="0091249B"/>
    <w:rsid w:val="00925AA7"/>
    <w:rsid w:val="00937B68"/>
    <w:rsid w:val="00977634"/>
    <w:rsid w:val="00A01431"/>
    <w:rsid w:val="00A27A18"/>
    <w:rsid w:val="00A92F01"/>
    <w:rsid w:val="00AA54FD"/>
    <w:rsid w:val="00AB2362"/>
    <w:rsid w:val="00AC244E"/>
    <w:rsid w:val="00AE382A"/>
    <w:rsid w:val="00B0538A"/>
    <w:rsid w:val="00B16595"/>
    <w:rsid w:val="00B51BE1"/>
    <w:rsid w:val="00CC767A"/>
    <w:rsid w:val="00D23179"/>
    <w:rsid w:val="00D33FF7"/>
    <w:rsid w:val="00D850C2"/>
    <w:rsid w:val="00D867D3"/>
    <w:rsid w:val="00DC69DB"/>
    <w:rsid w:val="00DF7D07"/>
    <w:rsid w:val="00E205F4"/>
    <w:rsid w:val="00E22606"/>
    <w:rsid w:val="00E22E7B"/>
    <w:rsid w:val="00E55C5F"/>
    <w:rsid w:val="00EA6F37"/>
    <w:rsid w:val="00F00B69"/>
    <w:rsid w:val="00F026E2"/>
    <w:rsid w:val="00F046FE"/>
    <w:rsid w:val="00F21089"/>
    <w:rsid w:val="00FA3E69"/>
    <w:rsid w:val="00FD7D87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6F154E"/>
  <w14:defaultImageDpi w14:val="300"/>
  <w15:docId w15:val="{1E32D62C-EFDE-4772-BDE0-F57523EC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0AF0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850C2"/>
    <w:pPr>
      <w:spacing w:after="200" w:line="276" w:lineRule="auto"/>
      <w:ind w:left="720"/>
      <w:contextualSpacing/>
    </w:pPr>
    <w:rPr>
      <w:rFonts w:eastAsia="Cambria"/>
      <w:sz w:val="22"/>
      <w:szCs w:val="22"/>
      <w:lang w:val="hr-BA"/>
    </w:rPr>
  </w:style>
  <w:style w:type="character" w:styleId="CommentReference">
    <w:name w:val="annotation reference"/>
    <w:uiPriority w:val="99"/>
    <w:semiHidden/>
    <w:unhideWhenUsed/>
    <w:rsid w:val="00D850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C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850C2"/>
    <w:rPr>
      <w:b/>
      <w:bCs/>
      <w:sz w:val="20"/>
      <w:szCs w:val="20"/>
    </w:rPr>
  </w:style>
  <w:style w:type="character" w:styleId="Strong">
    <w:name w:val="Strong"/>
    <w:uiPriority w:val="22"/>
    <w:qFormat/>
    <w:rsid w:val="00F026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6B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6B7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B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56B78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56B78"/>
    <w:rPr>
      <w:vertAlign w:val="superscript"/>
    </w:rPr>
  </w:style>
  <w:style w:type="paragraph" w:customStyle="1" w:styleId="tabela44">
    <w:name w:val="tabela44"/>
    <w:basedOn w:val="Normal"/>
    <w:rsid w:val="001718D0"/>
    <w:pPr>
      <w:numPr>
        <w:numId w:val="4"/>
      </w:numPr>
      <w:spacing w:before="60" w:after="60"/>
    </w:pPr>
    <w:rPr>
      <w:rFonts w:ascii="Tahoma" w:eastAsia="Times New Roman" w:hAnsi="Tahoma"/>
      <w:noProof/>
      <w:sz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ECE8-2F9E-4D40-BBF4-76A8CDBD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 Serdarevic</dc:creator>
  <cp:lastModifiedBy>Amra Serdarević</cp:lastModifiedBy>
  <cp:revision>2</cp:revision>
  <cp:lastPrinted>2022-10-28T11:54:00Z</cp:lastPrinted>
  <dcterms:created xsi:type="dcterms:W3CDTF">2024-09-09T11:06:00Z</dcterms:created>
  <dcterms:modified xsi:type="dcterms:W3CDTF">2024-09-09T11:06:00Z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f487524c99ad8eb10f9f0c1ea92cba2fb4660f4ac38e556eba752e855118a182</vt:lpwstr>
  </property>
</Properties>
</file>