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609"/>
        <w:gridCol w:w="1417"/>
        <w:gridCol w:w="2350"/>
        <w:gridCol w:w="2753"/>
      </w:tblGrid>
      <w:tr w:rsidR="00D850C2" w:rsidRPr="00342B76" w14:paraId="384021EF" w14:textId="77777777" w:rsidTr="00156B78">
        <w:trPr>
          <w:trHeight w:val="104"/>
        </w:trPr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03ACDCF" w14:textId="24E930D9" w:rsidR="00D850C2" w:rsidRPr="00342B76" w:rsidRDefault="00D850C2" w:rsidP="00D850C2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Šifra predmeta:</w:t>
            </w:r>
            <w:r w:rsidR="00A92F01" w:rsidRPr="00342B76">
              <w:rPr>
                <w:rFonts w:eastAsia="Times New Roman" w:cs="Arial"/>
                <w:lang w:eastAsia="hr-BA"/>
              </w:rPr>
              <w:t xml:space="preserve"> </w:t>
            </w:r>
            <w:r w:rsidR="0047507C">
              <w:rPr>
                <w:rFonts w:eastAsia="Times New Roman" w:cs="Arial"/>
                <w:lang w:eastAsia="hr-BA"/>
              </w:rPr>
              <w:t>GM39</w:t>
            </w: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 </w:t>
            </w:r>
          </w:p>
        </w:tc>
        <w:tc>
          <w:tcPr>
            <w:tcW w:w="7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AF65C4F" w14:textId="77777777" w:rsidR="00D850C2" w:rsidRPr="00342B76" w:rsidRDefault="00D850C2" w:rsidP="00CB204A">
            <w:pPr>
              <w:ind w:left="1627" w:hanging="1627"/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Naziv predmeta:   </w:t>
            </w:r>
            <w:r w:rsidR="00CB204A" w:rsidRPr="00CB204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PRERADA OTPADNIH VODA</w:t>
            </w:r>
          </w:p>
        </w:tc>
      </w:tr>
      <w:tr w:rsidR="00D850C2" w:rsidRPr="00342B76" w14:paraId="523A8A1A" w14:textId="77777777" w:rsidTr="00156B78">
        <w:trPr>
          <w:trHeight w:val="104"/>
        </w:trPr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F62A27F" w14:textId="77777777" w:rsidR="00D850C2" w:rsidRPr="00342B76" w:rsidRDefault="006C02D8" w:rsidP="0007767A">
            <w:pPr>
              <w:rPr>
                <w:rFonts w:eastAsia="Times New Roman" w:cs="Arial"/>
                <w:lang w:eastAsia="hr-B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Ciklus</w:t>
            </w:r>
            <w:r w:rsidR="00D850C2"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</w:t>
            </w:r>
            <w:r w:rsidR="001718D0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</w:t>
            </w:r>
          </w:p>
        </w:tc>
        <w:tc>
          <w:tcPr>
            <w:tcW w:w="2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6009F5A" w14:textId="77777777" w:rsidR="00D850C2" w:rsidRPr="00342B76" w:rsidRDefault="00D850C2" w:rsidP="0007767A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Godina: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</w:t>
            </w:r>
            <w:r w:rsidR="00CB204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0EE28E4" w14:textId="77777777" w:rsidR="00D850C2" w:rsidRPr="00342B76" w:rsidRDefault="00D850C2" w:rsidP="001F44D8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Semestar: </w:t>
            </w:r>
            <w:r w:rsidR="00CB204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3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BA3B3ED" w14:textId="77777777" w:rsidR="00D850C2" w:rsidRPr="00342B76" w:rsidRDefault="00D850C2" w:rsidP="001F44D8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Broj ECTS kredita:</w:t>
            </w:r>
            <w:r w:rsidRPr="00342B76">
              <w:rPr>
                <w:rFonts w:eastAsia="Calibri"/>
                <w:color w:val="000000"/>
                <w:kern w:val="24"/>
                <w:lang w:eastAsia="hr-BA"/>
              </w:rPr>
              <w:t xml:space="preserve"> </w:t>
            </w:r>
            <w:r w:rsidR="001718D0">
              <w:rPr>
                <w:rFonts w:eastAsia="Calibri"/>
                <w:color w:val="000000"/>
                <w:kern w:val="24"/>
                <w:lang w:eastAsia="hr-BA"/>
              </w:rPr>
              <w:t>6</w:t>
            </w:r>
          </w:p>
        </w:tc>
      </w:tr>
      <w:tr w:rsidR="00D850C2" w:rsidRPr="00342B76" w14:paraId="541E82C0" w14:textId="77777777" w:rsidTr="00156B78">
        <w:trPr>
          <w:trHeight w:val="479"/>
        </w:trPr>
        <w:tc>
          <w:tcPr>
            <w:tcW w:w="4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AD0DCCA" w14:textId="77777777" w:rsidR="00D850C2" w:rsidRPr="00342B76" w:rsidRDefault="00604AE9" w:rsidP="0007767A">
            <w:pPr>
              <w:rPr>
                <w:rFonts w:eastAsia="Times New Roman" w:cs="Arial"/>
                <w:lang w:eastAsia="hr-BA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1" locked="0" layoutInCell="1" allowOverlap="1" wp14:anchorId="0C7B274C" wp14:editId="6B9F4F0C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139065</wp:posOffset>
                  </wp:positionV>
                  <wp:extent cx="4940300" cy="4940300"/>
                  <wp:effectExtent l="0" t="0" r="0" b="0"/>
                  <wp:wrapNone/>
                  <wp:docPr id="2" name="Picture 2" descr="unsa logo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sa logo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0" cy="494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0C2"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Status: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obavezni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DCAC74A" w14:textId="77777777" w:rsidR="00E22606" w:rsidRDefault="00D850C2" w:rsidP="00D850C2">
            <w:pP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Ukupan broj sati: </w:t>
            </w:r>
            <w:r w:rsidR="001718D0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75</w:t>
            </w: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 </w:t>
            </w:r>
            <w:r w:rsidR="001718D0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 (3+2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)</w:t>
            </w:r>
          </w:p>
          <w:p w14:paraId="07BB2889" w14:textId="77777777" w:rsidR="00DA21AD" w:rsidRDefault="00DA21AD" w:rsidP="00D850C2">
            <w:pP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Predavanja:45</w:t>
            </w:r>
          </w:p>
          <w:p w14:paraId="29B306F4" w14:textId="23655BA9" w:rsidR="00DA21AD" w:rsidRPr="0007767A" w:rsidRDefault="00DA21AD" w:rsidP="00D850C2">
            <w:pP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Vježbe: 30</w:t>
            </w:r>
          </w:p>
        </w:tc>
      </w:tr>
      <w:tr w:rsidR="006C02D8" w:rsidRPr="00342B76" w14:paraId="6F544F1B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318ADDDC" w14:textId="77777777" w:rsidR="006C02D8" w:rsidRDefault="007F7807" w:rsidP="00D850C2">
            <w:pPr>
              <w:rPr>
                <w:rFonts w:eastAsia="Times New Roman" w:cs="Arial"/>
                <w:b/>
                <w:lang w:eastAsia="hr-BA"/>
              </w:rPr>
            </w:pPr>
            <w:proofErr w:type="spellStart"/>
            <w:r>
              <w:rPr>
                <w:rFonts w:eastAsia="Times New Roman" w:cs="Arial"/>
                <w:b/>
                <w:lang w:eastAsia="hr-BA"/>
              </w:rPr>
              <w:t>Odgovorni</w:t>
            </w:r>
            <w:proofErr w:type="spellEnd"/>
            <w:r>
              <w:rPr>
                <w:rFonts w:eastAsia="Times New Roman" w:cs="Arial"/>
                <w:b/>
                <w:lang w:eastAsia="hr-BA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lang w:eastAsia="hr-BA"/>
              </w:rPr>
              <w:t>nastavni</w:t>
            </w:r>
            <w:r w:rsidR="006C02D8">
              <w:rPr>
                <w:rFonts w:eastAsia="Times New Roman" w:cs="Arial"/>
                <w:b/>
                <w:lang w:eastAsia="hr-BA"/>
              </w:rPr>
              <w:t>ci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376E2028" w14:textId="77777777" w:rsidR="001718D0" w:rsidRPr="0047507C" w:rsidRDefault="001718D0" w:rsidP="001718D0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>Nastavnici</w:t>
            </w:r>
            <w:proofErr w:type="spellEnd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>saradnici</w:t>
            </w:r>
            <w:proofErr w:type="spellEnd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>izabrani</w:t>
            </w:r>
            <w:proofErr w:type="spellEnd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 xml:space="preserve"> oblast </w:t>
            </w:r>
            <w:proofErr w:type="spellStart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>kojoj</w:t>
            </w:r>
            <w:proofErr w:type="spellEnd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>predmet</w:t>
            </w:r>
            <w:proofErr w:type="spellEnd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7507C">
              <w:rPr>
                <w:rFonts w:eastAsia="Times New Roman" w:cs="Arial"/>
                <w:sz w:val="20"/>
                <w:szCs w:val="20"/>
                <w:lang w:eastAsia="hr-BA"/>
              </w:rPr>
              <w:t>pripada</w:t>
            </w:r>
            <w:proofErr w:type="spellEnd"/>
          </w:p>
          <w:p w14:paraId="16D47334" w14:textId="77777777" w:rsidR="006C02D8" w:rsidRPr="0086371C" w:rsidRDefault="006C02D8" w:rsidP="001718D0">
            <w:pPr>
              <w:rPr>
                <w:rFonts w:eastAsia="Times New Roman" w:cs="Arial"/>
                <w:lang w:eastAsia="hr-BA"/>
              </w:rPr>
            </w:pPr>
          </w:p>
        </w:tc>
      </w:tr>
      <w:tr w:rsidR="00D850C2" w:rsidRPr="004C1C35" w14:paraId="1A3EC0CC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06BA803" w14:textId="77777777" w:rsidR="00D850C2" w:rsidRPr="004C1C35" w:rsidRDefault="002171D2" w:rsidP="00D850C2">
            <w:pPr>
              <w:rPr>
                <w:rFonts w:eastAsia="Times New Roman" w:cs="Arial"/>
                <w:b/>
                <w:sz w:val="20"/>
                <w:szCs w:val="20"/>
                <w:lang w:eastAsia="hr-BA"/>
              </w:rPr>
            </w:pPr>
            <w:proofErr w:type="spellStart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Preduslov</w:t>
            </w:r>
            <w:proofErr w:type="spellEnd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upis</w:t>
            </w:r>
            <w:proofErr w:type="spellEnd"/>
            <w:r w:rsidR="00D850C2"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: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D192F78" w14:textId="77777777" w:rsidR="00D850C2" w:rsidRPr="004C1C35" w:rsidRDefault="00D850C2" w:rsidP="00D850C2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instrText xml:space="preserve"> FORMTEXT </w:instrText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separate"/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end"/>
            </w:r>
            <w:bookmarkEnd w:id="0"/>
          </w:p>
        </w:tc>
      </w:tr>
      <w:tr w:rsidR="00D850C2" w:rsidRPr="001718D0" w14:paraId="75C9C280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74772068" w14:textId="77777777" w:rsidR="00D850C2" w:rsidRPr="004C1C35" w:rsidRDefault="00D850C2" w:rsidP="00D850C2">
            <w:pPr>
              <w:rPr>
                <w:rFonts w:eastAsia="Calibri"/>
                <w:b/>
                <w:bCs/>
                <w:color w:val="FF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Cilj (ciljevi) predmeta: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19232EDE" w14:textId="77777777" w:rsidR="008B1299" w:rsidRPr="00AC244E" w:rsidRDefault="00CB204A" w:rsidP="00CB204A">
            <w:pPr>
              <w:jc w:val="both"/>
              <w:rPr>
                <w:rFonts w:eastAsia="Times New Roman"/>
                <w:sz w:val="20"/>
                <w:szCs w:val="20"/>
                <w:lang w:val="tr-TR" w:eastAsia="en-GB"/>
              </w:rPr>
            </w:pPr>
            <w:r w:rsidRPr="00CB204A">
              <w:rPr>
                <w:rFonts w:eastAsia="Times New Roman"/>
                <w:sz w:val="20"/>
                <w:szCs w:val="20"/>
                <w:lang w:val="tr-TR" w:eastAsia="en-GB"/>
              </w:rPr>
              <w:t>Upoznavanje studenata sa osnovama prečišćavanja otpadnih voda, kao sastavnog dijela integralnog upravljanja vodama. Studenti u ovom kursu stiču odgovarajuća znanja koje se odnose na mehaničke, kemijske i biološke procese prečišćavanja otpadne vode ovisno o sastavu i izboru recipijenta, kao i dimenzioniranje građevina u kojima su ovi procesi odvijaju. Uključeni su hidraulički proračuni postrojenja.</w:t>
            </w:r>
          </w:p>
        </w:tc>
      </w:tr>
      <w:tr w:rsidR="008B1299" w:rsidRPr="00285CE3" w14:paraId="11ADFB7B" w14:textId="77777777" w:rsidTr="00F07C32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5837B01E" w14:textId="77777777" w:rsidR="008B1299" w:rsidRPr="004C1C35" w:rsidRDefault="008B1299" w:rsidP="008B1299">
            <w:pPr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Tematske jedinice:</w:t>
            </w:r>
          </w:p>
          <w:p w14:paraId="6B6C6668" w14:textId="0657F622" w:rsidR="008B1299" w:rsidRPr="004C1C35" w:rsidRDefault="008B1299" w:rsidP="008B1299">
            <w:pPr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  <w:t>(po potrebi plan izvođenja po sedmicama se utvrđuje uvažavajući</w:t>
            </w:r>
            <w:r w:rsidR="0047507C"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  <w:t xml:space="preserve"> akademski kalendar</w:t>
            </w:r>
            <w:r w:rsidRPr="004C1C35"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</w:tcPr>
          <w:p w14:paraId="38A1991F" w14:textId="77777777" w:rsidR="00CB204A" w:rsidRDefault="007B19EA" w:rsidP="00411059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 w:rsidRPr="00285CE3">
              <w:rPr>
                <w:rFonts w:eastAsia="Times New Roman"/>
                <w:sz w:val="20"/>
                <w:szCs w:val="20"/>
                <w:lang w:val="tr-TR" w:eastAsia="en-GB"/>
              </w:rPr>
              <w:t>1.</w:t>
            </w:r>
            <w:r w:rsidR="00754C20" w:rsidRPr="00285CE3">
              <w:rPr>
                <w:rFonts w:eastAsia="Times New Roman"/>
                <w:sz w:val="20"/>
                <w:szCs w:val="20"/>
                <w:lang w:val="tr-TR" w:eastAsia="en-GB"/>
              </w:rPr>
              <w:t xml:space="preserve">   </w:t>
            </w:r>
            <w:r w:rsidR="00CB204A">
              <w:rPr>
                <w:rFonts w:eastAsia="Times New Roman"/>
                <w:sz w:val="20"/>
                <w:szCs w:val="20"/>
                <w:lang w:val="tr-TR" w:eastAsia="en-GB"/>
              </w:rPr>
              <w:t>Pristup prečišćavanju OV, Uvjeti ispuštanja OV u okoliš, vodne naknade, Zakonski okvir.</w:t>
            </w:r>
          </w:p>
          <w:p w14:paraId="2A7BFF1F" w14:textId="77777777" w:rsidR="00CB204A" w:rsidRDefault="00411059" w:rsidP="00057EA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2</w:t>
            </w:r>
            <w:r w:rsidR="00F07C32">
              <w:rPr>
                <w:rFonts w:eastAsia="Times New Roman"/>
                <w:sz w:val="20"/>
                <w:szCs w:val="20"/>
                <w:lang w:val="tr-TR" w:eastAsia="en-GB"/>
              </w:rPr>
              <w:t>.</w:t>
            </w:r>
            <w:r w:rsidR="00CB204A">
              <w:rPr>
                <w:rFonts w:eastAsia="Times New Roman"/>
                <w:sz w:val="20"/>
                <w:szCs w:val="20"/>
                <w:lang w:val="tr-TR" w:eastAsia="en-GB"/>
              </w:rPr>
              <w:t xml:space="preserve"> Otpadne vode – podjela, sastav i količine.</w:t>
            </w:r>
            <w:r w:rsidR="00057EA3">
              <w:rPr>
                <w:rFonts w:eastAsia="Times New Roman"/>
                <w:sz w:val="20"/>
                <w:szCs w:val="20"/>
                <w:lang w:val="tr-TR" w:eastAsia="en-GB"/>
              </w:rPr>
              <w:t xml:space="preserve"> Osnovno o procesima prečišćavanja.Izbor procesa.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EBS</w:t>
            </w:r>
          </w:p>
          <w:p w14:paraId="71F71F53" w14:textId="77777777" w:rsidR="00F07C32" w:rsidRDefault="00411059" w:rsidP="00F07C32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3</w:t>
            </w:r>
            <w:r w:rsidR="00F07C32">
              <w:rPr>
                <w:rFonts w:eastAsia="Times New Roman"/>
                <w:sz w:val="20"/>
                <w:szCs w:val="20"/>
                <w:lang w:val="tr-TR" w:eastAsia="en-GB"/>
              </w:rPr>
              <w:t>. Predtretman i primarno prečišćavanje.</w:t>
            </w:r>
          </w:p>
          <w:p w14:paraId="3079B5E7" w14:textId="77777777" w:rsidR="00F07C32" w:rsidRDefault="00411059" w:rsidP="00F07C32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4</w:t>
            </w:r>
            <w:r w:rsidR="00F07C32">
              <w:rPr>
                <w:rFonts w:eastAsia="Times New Roman"/>
                <w:sz w:val="20"/>
                <w:szCs w:val="20"/>
                <w:lang w:val="tr-TR" w:eastAsia="en-GB"/>
              </w:rPr>
              <w:t>.Fizičko-hemijski postupci tretmana otpadnih voda.</w:t>
            </w:r>
          </w:p>
          <w:p w14:paraId="48443768" w14:textId="77777777" w:rsidR="00411059" w:rsidRDefault="00411059" w:rsidP="00F07C32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5</w:t>
            </w:r>
            <w:r w:rsidR="00FA2DC3">
              <w:rPr>
                <w:rFonts w:eastAsia="Times New Roman"/>
                <w:sz w:val="20"/>
                <w:szCs w:val="20"/>
                <w:lang w:val="tr-TR" w:eastAsia="en-GB"/>
              </w:rPr>
              <w:t xml:space="preserve">. Sekundarno/biološko prečišćavanje (teoretske osnove o AM i podjela </w:t>
            </w:r>
            <w:r w:rsidR="00057EA3">
              <w:rPr>
                <w:rFonts w:eastAsia="Times New Roman"/>
                <w:sz w:val="20"/>
                <w:szCs w:val="20"/>
                <w:lang w:val="tr-TR" w:eastAsia="en-GB"/>
              </w:rPr>
              <w:t>procesa )</w:t>
            </w:r>
            <w:r w:rsidR="00057EA3" w:rsidRPr="00FA2DC3">
              <w:rPr>
                <w:rFonts w:eastAsia="Times New Roman"/>
                <w:sz w:val="20"/>
                <w:szCs w:val="20"/>
                <w:lang w:val="tr-TR"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Index mulja.</w:t>
            </w:r>
          </w:p>
          <w:p w14:paraId="7C0E7E79" w14:textId="77777777" w:rsidR="00F07C32" w:rsidRDefault="00411059" w:rsidP="00F07C32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6. </w:t>
            </w:r>
            <w:r w:rsidR="00057EA3" w:rsidRPr="00FA2DC3">
              <w:rPr>
                <w:rFonts w:eastAsia="Times New Roman"/>
                <w:sz w:val="20"/>
                <w:szCs w:val="20"/>
                <w:lang w:val="tr-TR" w:eastAsia="en-GB"/>
              </w:rPr>
              <w:t xml:space="preserve">Sekundarno/biološko prečišćavanje </w:t>
            </w:r>
            <w:r w:rsidR="00057EA3">
              <w:rPr>
                <w:rFonts w:eastAsia="Times New Roman"/>
                <w:sz w:val="20"/>
                <w:szCs w:val="20"/>
                <w:lang w:val="tr-TR" w:eastAsia="en-GB"/>
              </w:rPr>
              <w:t>– projektni parametri i dimenzioniranje</w:t>
            </w:r>
            <w:r w:rsidRPr="00411059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- </w:t>
            </w:r>
            <w:r w:rsidRPr="00411059">
              <w:rPr>
                <w:rFonts w:eastAsia="Times New Roman"/>
                <w:sz w:val="20"/>
                <w:szCs w:val="20"/>
                <w:lang w:val="tr-TR" w:eastAsia="en-GB"/>
              </w:rPr>
              <w:t>primjena Aqua designer.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 Aeracija.</w:t>
            </w:r>
          </w:p>
          <w:p w14:paraId="5316E529" w14:textId="77777777" w:rsidR="00FA2DC3" w:rsidRDefault="00411059" w:rsidP="00F07C32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7</w:t>
            </w:r>
            <w:r w:rsidR="00FA2DC3">
              <w:rPr>
                <w:rFonts w:eastAsia="Times New Roman"/>
                <w:sz w:val="20"/>
                <w:szCs w:val="20"/>
                <w:lang w:val="tr-TR" w:eastAsia="en-GB"/>
              </w:rPr>
              <w:t>. Test I</w:t>
            </w:r>
          </w:p>
          <w:p w14:paraId="306243D1" w14:textId="77777777" w:rsidR="00FA2DC3" w:rsidRDefault="00057EA3" w:rsidP="00FA2DC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8</w:t>
            </w:r>
            <w:r w:rsidR="00FA2DC3">
              <w:rPr>
                <w:rFonts w:eastAsia="Times New Roman"/>
                <w:sz w:val="20"/>
                <w:szCs w:val="20"/>
                <w:lang w:val="tr-TR" w:eastAsia="en-GB"/>
              </w:rPr>
              <w:t>. Naknadne taložnice. Statičko i dinamičko  modeliranje procesa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 sa AM</w:t>
            </w:r>
            <w:r w:rsidR="00FA2DC3">
              <w:rPr>
                <w:rFonts w:eastAsia="Times New Roman"/>
                <w:sz w:val="20"/>
                <w:szCs w:val="20"/>
                <w:lang w:val="tr-TR" w:eastAsia="en-GB"/>
              </w:rPr>
              <w:t xml:space="preserve"> –primjena Aqua designer. </w:t>
            </w:r>
          </w:p>
          <w:p w14:paraId="44D06E4F" w14:textId="77777777" w:rsidR="00FA2DC3" w:rsidRDefault="00057EA3" w:rsidP="00FA2DC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9</w:t>
            </w:r>
            <w:r w:rsidR="00FA2DC3">
              <w:rPr>
                <w:rFonts w:eastAsia="Times New Roman"/>
                <w:sz w:val="20"/>
                <w:szCs w:val="20"/>
                <w:lang w:val="tr-TR" w:eastAsia="en-GB"/>
              </w:rPr>
              <w:t xml:space="preserve">.Tercijarni tretman.SBR </w:t>
            </w:r>
          </w:p>
          <w:p w14:paraId="0B24AE2F" w14:textId="77777777" w:rsidR="00FA2DC3" w:rsidRDefault="00FA2DC3" w:rsidP="00FA2DC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</w:t>
            </w:r>
            <w:r w:rsidR="00057EA3">
              <w:rPr>
                <w:rFonts w:eastAsia="Times New Roman"/>
                <w:sz w:val="20"/>
                <w:szCs w:val="20"/>
                <w:lang w:val="tr-TR" w:eastAsia="en-GB"/>
              </w:rPr>
              <w:t>0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. Biološko prečišćavanje sa pričvršenim rastom mikroorganizama.</w:t>
            </w:r>
          </w:p>
          <w:p w14:paraId="193B009E" w14:textId="77777777" w:rsidR="00FA2DC3" w:rsidRDefault="00FA2DC3" w:rsidP="00FA2DC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</w:t>
            </w:r>
            <w:r w:rsidR="00057EA3">
              <w:rPr>
                <w:rFonts w:eastAsia="Times New Roman"/>
                <w:sz w:val="20"/>
                <w:szCs w:val="20"/>
                <w:lang w:val="tr-TR" w:eastAsia="en-GB"/>
              </w:rPr>
              <w:t>1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. Membranski procesi u preradi otpadnih voda, Dezifekcija OV</w:t>
            </w:r>
          </w:p>
          <w:p w14:paraId="07936214" w14:textId="77777777" w:rsidR="00FA2DC3" w:rsidRDefault="00FA2DC3" w:rsidP="00FA2DC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</w:t>
            </w:r>
            <w:r w:rsidR="00057EA3">
              <w:rPr>
                <w:rFonts w:eastAsia="Times New Roman"/>
                <w:sz w:val="20"/>
                <w:szCs w:val="20"/>
                <w:lang w:val="tr-TR" w:eastAsia="en-GB"/>
              </w:rPr>
              <w:t>2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. Nekonvencionalne tehnologije</w:t>
            </w:r>
          </w:p>
          <w:p w14:paraId="3C2640FA" w14:textId="77777777" w:rsidR="00057EA3" w:rsidRDefault="00FA2DC3" w:rsidP="00FA2DC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</w:t>
            </w:r>
            <w:r w:rsidR="00057EA3">
              <w:rPr>
                <w:rFonts w:eastAsia="Times New Roman"/>
                <w:sz w:val="20"/>
                <w:szCs w:val="20"/>
                <w:lang w:val="tr-TR" w:eastAsia="en-GB"/>
              </w:rPr>
              <w:t>3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. Hidraulički aspekt PPOV, Tretman mulja. </w:t>
            </w:r>
          </w:p>
          <w:p w14:paraId="22979B00" w14:textId="77777777" w:rsidR="00FA2DC3" w:rsidRDefault="00057EA3" w:rsidP="00FA2DC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14.</w:t>
            </w:r>
            <w:r w:rsidR="00FA2DC3">
              <w:rPr>
                <w:rFonts w:eastAsia="Times New Roman"/>
                <w:sz w:val="20"/>
                <w:szCs w:val="20"/>
                <w:lang w:val="tr-TR" w:eastAsia="en-GB"/>
              </w:rPr>
              <w:t>Monitoring i održav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a</w:t>
            </w:r>
            <w:r w:rsidR="00FA2DC3">
              <w:rPr>
                <w:rFonts w:eastAsia="Times New Roman"/>
                <w:sz w:val="20"/>
                <w:szCs w:val="20"/>
                <w:lang w:val="tr-TR" w:eastAsia="en-GB"/>
              </w:rPr>
              <w:t>nje postrojenja za preradu OV.</w:t>
            </w:r>
          </w:p>
          <w:p w14:paraId="29433DE1" w14:textId="77777777" w:rsidR="00FA2DC3" w:rsidRDefault="00FA2DC3" w:rsidP="00057EA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</w:t>
            </w:r>
            <w:r w:rsidR="00057EA3">
              <w:rPr>
                <w:rFonts w:eastAsia="Times New Roman"/>
                <w:sz w:val="20"/>
                <w:szCs w:val="20"/>
                <w:lang w:val="tr-TR" w:eastAsia="en-GB"/>
              </w:rPr>
              <w:t>5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. </w:t>
            </w:r>
            <w:r w:rsidR="00057EA3">
              <w:rPr>
                <w:rFonts w:eastAsia="Times New Roman"/>
                <w:sz w:val="20"/>
                <w:szCs w:val="20"/>
                <w:lang w:val="tr-TR" w:eastAsia="en-GB"/>
              </w:rPr>
              <w:t>Test II</w:t>
            </w:r>
          </w:p>
          <w:p w14:paraId="2D222339" w14:textId="6932CCB9" w:rsidR="003E50EF" w:rsidRPr="00285CE3" w:rsidRDefault="003E50EF" w:rsidP="00057EA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Vježbe prate teoretske cjeline. </w:t>
            </w:r>
          </w:p>
        </w:tc>
      </w:tr>
      <w:tr w:rsidR="008B1299" w:rsidRPr="00CB204A" w14:paraId="29C9F2B2" w14:textId="77777777" w:rsidTr="00B0538A">
        <w:trPr>
          <w:trHeight w:val="1911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A9552E2" w14:textId="77777777" w:rsidR="008B1299" w:rsidRPr="00285CE3" w:rsidRDefault="008B1299" w:rsidP="008B1299">
            <w:pPr>
              <w:tabs>
                <w:tab w:val="left" w:pos="1152"/>
              </w:tabs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285CE3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 xml:space="preserve">Ishodi učenja: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4E70E8C" w14:textId="7FC2940D" w:rsidR="00285CE3" w:rsidRPr="00285CE3" w:rsidRDefault="008B1299" w:rsidP="003E50EF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3E50EF">
              <w:rPr>
                <w:rFonts w:eastAsia="Times New Roman" w:cs="Arial"/>
                <w:b/>
                <w:bCs/>
                <w:sz w:val="20"/>
                <w:szCs w:val="20"/>
                <w:lang w:val="tr-TR" w:eastAsia="hr-BA"/>
              </w:rPr>
              <w:t>Znanje</w:t>
            </w:r>
            <w:r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: </w:t>
            </w:r>
            <w:r w:rsidR="00CB204A">
              <w:rPr>
                <w:rFonts w:eastAsia="Times New Roman" w:cs="Arial"/>
                <w:sz w:val="20"/>
                <w:szCs w:val="20"/>
                <w:lang w:val="tr-TR" w:eastAsia="hr-BA"/>
              </w:rPr>
              <w:t>Sastav i količine otpadnih voda, različiti izvor</w:t>
            </w:r>
            <w:r w:rsidR="003E50EF">
              <w:rPr>
                <w:rFonts w:eastAsia="Times New Roman" w:cs="Arial"/>
                <w:sz w:val="20"/>
                <w:szCs w:val="20"/>
                <w:lang w:val="tr-TR" w:eastAsia="hr-BA"/>
              </w:rPr>
              <w:t>i</w:t>
            </w:r>
            <w:r w:rsidR="00CB204A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nastajanja</w:t>
            </w:r>
            <w:r w:rsidR="003E50E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OV</w:t>
            </w:r>
            <w:r w:rsidR="00CB204A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. </w:t>
            </w:r>
            <w:r w:rsidR="00285CE3"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>Planiranje</w:t>
            </w:r>
            <w:r w:rsidR="00CB204A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, </w:t>
            </w:r>
            <w:r w:rsidR="00285CE3"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projektovanje </w:t>
            </w:r>
            <w:r w:rsidR="00CB204A">
              <w:rPr>
                <w:rFonts w:eastAsia="Times New Roman" w:cs="Arial"/>
                <w:sz w:val="20"/>
                <w:szCs w:val="20"/>
                <w:lang w:val="tr-TR" w:eastAsia="hr-BA"/>
              </w:rPr>
              <w:t>i izvođ</w:t>
            </w:r>
            <w:r w:rsidR="003E50EF">
              <w:rPr>
                <w:rFonts w:eastAsia="Times New Roman" w:cs="Arial"/>
                <w:sz w:val="20"/>
                <w:szCs w:val="20"/>
                <w:lang w:val="tr-TR" w:eastAsia="hr-BA"/>
              </w:rPr>
              <w:t>e</w:t>
            </w:r>
            <w:r w:rsidR="00CB204A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nje građevina u sklopu postrojenja za preradu otpadnih voda. </w:t>
            </w:r>
            <w:r w:rsidR="00285CE3"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</w:t>
            </w:r>
          </w:p>
          <w:p w14:paraId="51F669BB" w14:textId="66B6BF04" w:rsidR="00285CE3" w:rsidRPr="00CB204A" w:rsidRDefault="008B1299" w:rsidP="003E50EF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3E50EF">
              <w:rPr>
                <w:rFonts w:eastAsia="Times New Roman" w:cs="Arial"/>
                <w:b/>
                <w:bCs/>
                <w:sz w:val="20"/>
                <w:szCs w:val="20"/>
                <w:lang w:val="tr-TR" w:eastAsia="hr-BA"/>
              </w:rPr>
              <w:t>Vještine</w:t>
            </w:r>
            <w:r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: </w:t>
            </w:r>
            <w:r w:rsidR="00285CE3"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>Upotreba literature, planske do</w:t>
            </w:r>
            <w:r w:rsidR="00285CE3" w:rsidRPr="00CB204A">
              <w:rPr>
                <w:rFonts w:eastAsia="Times New Roman" w:cs="Arial"/>
                <w:sz w:val="20"/>
                <w:szCs w:val="20"/>
                <w:lang w:val="tr-TR" w:eastAsia="hr-BA"/>
              </w:rPr>
              <w:t>kumentacije, kataloga i software-a za proračun i dimenzioniranje</w:t>
            </w:r>
            <w:r w:rsidR="00CB204A" w:rsidRPr="00CB204A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</w:t>
            </w:r>
            <w:r w:rsidR="00CB204A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postrojenja za preradu otpadnih voda. </w:t>
            </w:r>
            <w:r w:rsidR="00CB204A"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</w:t>
            </w:r>
          </w:p>
          <w:p w14:paraId="754316AD" w14:textId="77777777" w:rsidR="008B1299" w:rsidRPr="00CB204A" w:rsidRDefault="008B1299" w:rsidP="003E50EF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3E50EF">
              <w:rPr>
                <w:rFonts w:eastAsia="Times New Roman" w:cs="Arial"/>
                <w:b/>
                <w:bCs/>
                <w:sz w:val="20"/>
                <w:szCs w:val="20"/>
                <w:lang w:val="tr-TR" w:eastAsia="hr-BA"/>
              </w:rPr>
              <w:t>Kompetencije:</w:t>
            </w:r>
            <w:r w:rsidR="00CB204A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Sposobnost projektovanja uređaja za preradu komunalnih otpadnih voda. </w:t>
            </w:r>
            <w:r w:rsidRPr="00CB204A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</w:t>
            </w:r>
            <w:r w:rsidR="00285CE3" w:rsidRPr="00CB204A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Sposobnost učestvovanja u timskom </w:t>
            </w:r>
            <w:r w:rsidR="00CB204A">
              <w:rPr>
                <w:rFonts w:eastAsia="Times New Roman" w:cs="Arial"/>
                <w:sz w:val="20"/>
                <w:szCs w:val="20"/>
                <w:lang w:val="tr-TR" w:eastAsia="hr-BA"/>
              </w:rPr>
              <w:t>radu kao i</w:t>
            </w:r>
            <w:r w:rsidR="00285CE3" w:rsidRPr="00CB204A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samostalnom radu u svim fazama izrade tehničke dokumentacije i izgradnje građevina u sklopu </w:t>
            </w:r>
            <w:r w:rsidR="00CB204A" w:rsidRPr="00CB204A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postrojenja za preradu otpadnih voda.  </w:t>
            </w:r>
          </w:p>
        </w:tc>
      </w:tr>
      <w:tr w:rsidR="008B1299" w:rsidRPr="004C1C35" w14:paraId="7D26596C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3705647" w14:textId="77777777" w:rsidR="008B1299" w:rsidRPr="004C1C35" w:rsidRDefault="008B1299" w:rsidP="008B1299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Metode izvođenja nastave</w:t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hr-HR" w:eastAsia="hr-BA"/>
              </w:rPr>
              <w:t>:</w:t>
            </w:r>
            <w:r w:rsidRPr="004C1C35"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7AAC3CD" w14:textId="35764DD2" w:rsidR="008B1299" w:rsidRPr="004C1C35" w:rsidRDefault="00B0538A" w:rsidP="00B0538A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Predavanja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vježbe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(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uključujući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terenske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vježbe</w:t>
            </w:r>
            <w:proofErr w:type="spellEnd"/>
            <w:r w:rsidR="0047507C">
              <w:rPr>
                <w:rFonts w:eastAsia="Times New Roman" w:cs="Arial"/>
                <w:sz w:val="20"/>
                <w:szCs w:val="20"/>
                <w:lang w:eastAsia="hr-BA"/>
              </w:rPr>
              <w:t xml:space="preserve"> /</w:t>
            </w:r>
            <w:proofErr w:type="spellStart"/>
            <w:r w:rsidR="0047507C">
              <w:rPr>
                <w:rFonts w:eastAsia="Times New Roman" w:cs="Arial"/>
                <w:sz w:val="20"/>
                <w:szCs w:val="20"/>
                <w:lang w:eastAsia="hr-BA"/>
              </w:rPr>
              <w:t>posjet</w:t>
            </w:r>
            <w:proofErr w:type="spellEnd"/>
            <w:r w:rsidR="0047507C">
              <w:rPr>
                <w:rFonts w:eastAsia="Times New Roman" w:cs="Arial"/>
                <w:sz w:val="20"/>
                <w:szCs w:val="20"/>
                <w:lang w:eastAsia="hr-BA"/>
              </w:rPr>
              <w:t xml:space="preserve"> PPOV)</w:t>
            </w:r>
          </w:p>
        </w:tc>
      </w:tr>
      <w:tr w:rsidR="008B1299" w:rsidRPr="001718D0" w14:paraId="30C6DF0D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3418F27" w14:textId="77777777" w:rsidR="008B1299" w:rsidRPr="00483B6A" w:rsidRDefault="008B1299" w:rsidP="008B1299">
            <w:pPr>
              <w:rPr>
                <w:rFonts w:eastAsia="Calibri"/>
                <w:color w:val="000000"/>
                <w:kern w:val="24"/>
                <w:sz w:val="20"/>
                <w:szCs w:val="20"/>
                <w:lang w:val="de-DE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lastRenderedPageBreak/>
              <w:t>Metode provjere znanja sa strukturom ocjene</w:t>
            </w:r>
            <w:r w:rsidRPr="004C1C35">
              <w:rPr>
                <w:rStyle w:val="FootnoteReference"/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footnoteReference w:id="1"/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hr-HR" w:eastAsia="hr-BA"/>
              </w:rPr>
              <w:t>:</w:t>
            </w:r>
            <w:r w:rsidRPr="00483B6A">
              <w:rPr>
                <w:rFonts w:eastAsia="Calibri"/>
                <w:color w:val="000000"/>
                <w:kern w:val="24"/>
                <w:sz w:val="20"/>
                <w:szCs w:val="20"/>
                <w:lang w:val="de-DE" w:eastAsia="hr-BA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ADAE8D6" w14:textId="77777777" w:rsidR="00DA21AD" w:rsidRPr="00DA21AD" w:rsidRDefault="00DA21AD" w:rsidP="00DA21AD">
            <w:pPr>
              <w:numPr>
                <w:ilvl w:val="0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 xml:space="preserve">Format </w:t>
            </w:r>
            <w:proofErr w:type="spellStart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ispita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:</w:t>
            </w:r>
          </w:p>
          <w:p w14:paraId="0B2313F7" w14:textId="79B1F0B7" w:rsidR="00DA21AD" w:rsidRPr="00DA21AD" w:rsidRDefault="00DA21AD" w:rsidP="00DA21AD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se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provodi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u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pisanoj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formi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5BC1A360" w14:textId="6935C35E" w:rsidR="00DA21AD" w:rsidRPr="00DA21AD" w:rsidRDefault="00DA21AD" w:rsidP="00DA21AD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O</w:t>
            </w:r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cjena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znanja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vrši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se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tokom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semestra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putem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dva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testa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2EA58001" w14:textId="77777777" w:rsidR="00DA21AD" w:rsidRPr="00DA21AD" w:rsidRDefault="00DA21AD" w:rsidP="00DA21AD">
            <w:pPr>
              <w:numPr>
                <w:ilvl w:val="0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Sadržaj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ispita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:</w:t>
            </w:r>
          </w:p>
          <w:p w14:paraId="1E2C6FF2" w14:textId="14CF700A" w:rsidR="00DA21AD" w:rsidRPr="00DA21AD" w:rsidRDefault="00DA21AD" w:rsidP="00DA21AD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obuhvata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teoriju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praktične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probleme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vezane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dimenzioniranje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hidrauličke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izračune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jedinica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postrojenja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tretman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otpadnih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voda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(WWTP).</w:t>
            </w:r>
          </w:p>
          <w:p w14:paraId="29CF58A1" w14:textId="77777777" w:rsidR="00DA21AD" w:rsidRPr="00DA21AD" w:rsidRDefault="00DA21AD" w:rsidP="00DA21AD">
            <w:pPr>
              <w:numPr>
                <w:ilvl w:val="0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Zahtjevi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prolaz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:</w:t>
            </w:r>
          </w:p>
          <w:p w14:paraId="1287D76E" w14:textId="13BFE4D7" w:rsidR="00DA21AD" w:rsidRPr="00DA21AD" w:rsidRDefault="00DA21AD" w:rsidP="00DA21AD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Da bi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studenti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položili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moraju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postići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najmanje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55%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svakom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 od </w:t>
            </w:r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oba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testa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(Test I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Test II).</w:t>
            </w:r>
          </w:p>
          <w:p w14:paraId="5DBFB138" w14:textId="77777777" w:rsidR="00DA21AD" w:rsidRDefault="00DA21AD" w:rsidP="00D35E37">
            <w:pPr>
              <w:numPr>
                <w:ilvl w:val="0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Ako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ne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ispune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ovaj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zahtjev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izlaze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završni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koji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kombinira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gradivo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iz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oba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dijela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(Test I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Test II)</w:t>
            </w:r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ili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dijela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koji student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nije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položio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0C675615" w14:textId="7E569C4D" w:rsidR="00DA21AD" w:rsidRPr="00DA21AD" w:rsidRDefault="00DA21AD" w:rsidP="00D35E37">
            <w:pPr>
              <w:numPr>
                <w:ilvl w:val="0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K</w:t>
            </w:r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onačn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a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ocjen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a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:</w:t>
            </w:r>
          </w:p>
          <w:p w14:paraId="735E1E72" w14:textId="4A8A1650" w:rsidR="00DA21AD" w:rsidRPr="00DA21AD" w:rsidRDefault="00DA21AD" w:rsidP="00DA21AD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Konačna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ocjena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uzima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u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obzir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bodove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osvojene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ispitu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bodove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osvojene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programskom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zadatku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>/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projektu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.”</w:t>
            </w:r>
          </w:p>
          <w:p w14:paraId="7CC2FA2E" w14:textId="70694656" w:rsidR="00DA21AD" w:rsidRPr="00DA21AD" w:rsidRDefault="00DA21AD" w:rsidP="00DA21AD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Raspodjela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: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(80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bodova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, 80%) +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Programski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/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Projektni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problem (20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bodova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, 20%)</w:t>
            </w:r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 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odbrana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658B6C4E" w14:textId="65551F98" w:rsidR="001718D0" w:rsidRPr="007521F8" w:rsidRDefault="001718D0" w:rsidP="00057EA3">
            <w:pPr>
              <w:rPr>
                <w:rFonts w:eastAsia="Times New Roman" w:cs="Arial"/>
                <w:sz w:val="20"/>
                <w:szCs w:val="20"/>
                <w:lang w:val="de-DE" w:eastAsia="hr-BA"/>
              </w:rPr>
            </w:pPr>
          </w:p>
        </w:tc>
      </w:tr>
      <w:tr w:rsidR="008B1299" w:rsidRPr="001718D0" w14:paraId="340676C8" w14:textId="77777777" w:rsidTr="001718D0">
        <w:trPr>
          <w:trHeight w:val="1350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867D315" w14:textId="77777777" w:rsidR="008B1299" w:rsidRPr="004C1C35" w:rsidRDefault="008B1299" w:rsidP="008B1299">
            <w:pPr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Literatura</w:t>
            </w:r>
            <w:r w:rsidRPr="004C1C35">
              <w:rPr>
                <w:rStyle w:val="FootnoteReference"/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footnoteReference w:id="2"/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:</w:t>
            </w:r>
            <w:r w:rsidRPr="004C1C35"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  <w:t xml:space="preserve"> </w:t>
            </w:r>
          </w:p>
          <w:p w14:paraId="2219B2E8" w14:textId="77777777" w:rsidR="008B1299" w:rsidRPr="004C1C35" w:rsidRDefault="008B1299" w:rsidP="008B1299">
            <w:pPr>
              <w:rPr>
                <w:rFonts w:eastAsia="Times New Roman" w:cs="Arial"/>
                <w:b/>
                <w:i/>
                <w:sz w:val="20"/>
                <w:szCs w:val="20"/>
                <w:lang w:eastAsia="hr-BA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EF145CC" w14:textId="77777777" w:rsidR="00057EA3" w:rsidRDefault="00057EA3" w:rsidP="00057EA3">
            <w:pPr>
              <w:pStyle w:val="tabela44"/>
              <w:numPr>
                <w:ilvl w:val="0"/>
                <w:numId w:val="5"/>
              </w:numPr>
              <w:ind w:left="492" w:hanging="283"/>
              <w:jc w:val="both"/>
              <w:rPr>
                <w:rFonts w:asciiTheme="majorHAnsi" w:hAnsiTheme="majorHAnsi" w:cstheme="minorHAnsi"/>
                <w:szCs w:val="20"/>
              </w:rPr>
            </w:pPr>
            <w:r w:rsidRPr="00057EA3">
              <w:rPr>
                <w:rFonts w:asciiTheme="majorHAnsi" w:hAnsiTheme="majorHAnsi" w:cstheme="minorHAnsi"/>
                <w:b/>
                <w:szCs w:val="20"/>
              </w:rPr>
              <w:t>Obavezna:</w:t>
            </w:r>
            <w:r>
              <w:rPr>
                <w:rFonts w:asciiTheme="majorHAnsi" w:hAnsiTheme="majorHAnsi" w:cstheme="minorHAnsi"/>
                <w:szCs w:val="20"/>
              </w:rPr>
              <w:t xml:space="preserve"> Serdarević, A. (2022.) </w:t>
            </w:r>
            <w:r w:rsidRPr="00057EA3">
              <w:rPr>
                <w:rFonts w:asciiTheme="majorHAnsi" w:hAnsiTheme="majorHAnsi" w:cstheme="minorHAnsi"/>
                <w:i/>
                <w:szCs w:val="20"/>
              </w:rPr>
              <w:t>Prečišćavanje otpadnih voda</w:t>
            </w:r>
            <w:r>
              <w:rPr>
                <w:rFonts w:asciiTheme="majorHAnsi" w:hAnsiTheme="majorHAnsi" w:cstheme="minorHAnsi"/>
                <w:szCs w:val="20"/>
              </w:rPr>
              <w:t>, Univerzitet u Sarajevu-Građevinski fakultet</w:t>
            </w:r>
          </w:p>
          <w:p w14:paraId="190F82F2" w14:textId="77777777" w:rsidR="00057EA3" w:rsidRPr="00057EA3" w:rsidRDefault="00057EA3" w:rsidP="00057EA3">
            <w:pPr>
              <w:pStyle w:val="tabela44"/>
              <w:numPr>
                <w:ilvl w:val="0"/>
                <w:numId w:val="5"/>
              </w:numPr>
              <w:ind w:left="492" w:hanging="283"/>
              <w:jc w:val="both"/>
              <w:rPr>
                <w:rFonts w:asciiTheme="majorHAnsi" w:hAnsiTheme="majorHAnsi" w:cstheme="minorHAnsi"/>
                <w:szCs w:val="20"/>
              </w:rPr>
            </w:pPr>
            <w:r w:rsidRPr="00057EA3">
              <w:rPr>
                <w:rFonts w:asciiTheme="majorHAnsi" w:hAnsiTheme="majorHAnsi" w:cstheme="minorHAnsi"/>
                <w:b/>
                <w:szCs w:val="20"/>
              </w:rPr>
              <w:t>Dopunska:</w:t>
            </w:r>
            <w:r>
              <w:rPr>
                <w:rFonts w:asciiTheme="majorHAnsi" w:hAnsiTheme="majorHAnsi" w:cstheme="minorHAnsi"/>
                <w:szCs w:val="20"/>
              </w:rPr>
              <w:t xml:space="preserve"> </w:t>
            </w:r>
            <w:r w:rsidRPr="00057EA3">
              <w:rPr>
                <w:rFonts w:asciiTheme="majorHAnsi" w:hAnsiTheme="majorHAnsi" w:cstheme="minorHAnsi"/>
                <w:szCs w:val="20"/>
              </w:rPr>
              <w:t xml:space="preserve">Ljubisavljević D., Đukić A, Babić B., </w:t>
            </w:r>
            <w:r w:rsidRPr="00057EA3">
              <w:rPr>
                <w:rFonts w:asciiTheme="majorHAnsi" w:hAnsiTheme="majorHAnsi" w:cstheme="minorHAnsi"/>
                <w:i/>
                <w:szCs w:val="20"/>
              </w:rPr>
              <w:t>Prečišćavanje otpadnih voda</w:t>
            </w:r>
            <w:r w:rsidRPr="00057EA3">
              <w:rPr>
                <w:rFonts w:asciiTheme="majorHAnsi" w:hAnsiTheme="majorHAnsi" w:cstheme="minorHAnsi"/>
                <w:szCs w:val="20"/>
              </w:rPr>
              <w:t>, Građevinski fakultet Univerziteta u Beogradu, 2004.</w:t>
            </w:r>
          </w:p>
          <w:p w14:paraId="031F3D9B" w14:textId="77777777" w:rsidR="00057EA3" w:rsidRPr="00057EA3" w:rsidRDefault="00057EA3" w:rsidP="00057EA3">
            <w:pPr>
              <w:pStyle w:val="tabela44"/>
              <w:numPr>
                <w:ilvl w:val="0"/>
                <w:numId w:val="5"/>
              </w:numPr>
              <w:ind w:left="492" w:hanging="283"/>
              <w:jc w:val="both"/>
              <w:rPr>
                <w:rFonts w:asciiTheme="majorHAnsi" w:hAnsiTheme="majorHAnsi" w:cstheme="minorHAnsi"/>
                <w:szCs w:val="20"/>
              </w:rPr>
            </w:pPr>
            <w:r w:rsidRPr="00057EA3">
              <w:rPr>
                <w:rFonts w:asciiTheme="majorHAnsi" w:hAnsiTheme="majorHAnsi" w:cstheme="minorHAnsi"/>
                <w:szCs w:val="20"/>
              </w:rPr>
              <w:t>Me</w:t>
            </w:r>
            <w:r>
              <w:rPr>
                <w:rFonts w:asciiTheme="majorHAnsi" w:hAnsiTheme="majorHAnsi" w:cstheme="minorHAnsi"/>
                <w:szCs w:val="20"/>
              </w:rPr>
              <w:t>t</w:t>
            </w:r>
            <w:r w:rsidRPr="00057EA3">
              <w:rPr>
                <w:rFonts w:asciiTheme="majorHAnsi" w:hAnsiTheme="majorHAnsi" w:cstheme="minorHAnsi"/>
                <w:szCs w:val="20"/>
              </w:rPr>
              <w:t xml:space="preserve">calf &amp; Eddy, </w:t>
            </w:r>
            <w:r w:rsidRPr="00057EA3">
              <w:rPr>
                <w:rFonts w:asciiTheme="majorHAnsi" w:hAnsiTheme="majorHAnsi" w:cstheme="minorHAnsi"/>
                <w:i/>
                <w:szCs w:val="20"/>
              </w:rPr>
              <w:t>Wastewater Engineering, Treatment and Disposal</w:t>
            </w:r>
            <w:r w:rsidRPr="00057EA3">
              <w:rPr>
                <w:rFonts w:asciiTheme="majorHAnsi" w:hAnsiTheme="majorHAnsi" w:cstheme="minorHAnsi"/>
                <w:szCs w:val="20"/>
              </w:rPr>
              <w:t xml:space="preserve">, McGrow and Hill, 2003 </w:t>
            </w:r>
          </w:p>
          <w:p w14:paraId="608B25EB" w14:textId="77777777" w:rsidR="00057EA3" w:rsidRPr="00057EA3" w:rsidRDefault="00057EA3" w:rsidP="00057EA3">
            <w:pPr>
              <w:pStyle w:val="tabela44"/>
              <w:numPr>
                <w:ilvl w:val="0"/>
                <w:numId w:val="5"/>
              </w:numPr>
              <w:ind w:left="492" w:hanging="283"/>
              <w:jc w:val="both"/>
              <w:rPr>
                <w:rFonts w:asciiTheme="majorHAnsi" w:hAnsiTheme="majorHAnsi" w:cstheme="minorHAnsi"/>
                <w:szCs w:val="20"/>
              </w:rPr>
            </w:pPr>
            <w:r w:rsidRPr="00057EA3">
              <w:rPr>
                <w:rFonts w:asciiTheme="majorHAnsi" w:hAnsiTheme="majorHAnsi" w:cstheme="minorHAnsi"/>
                <w:szCs w:val="20"/>
              </w:rPr>
              <w:t xml:space="preserve">Tušar, B., </w:t>
            </w:r>
            <w:r w:rsidRPr="00057EA3">
              <w:rPr>
                <w:rFonts w:asciiTheme="majorHAnsi" w:hAnsiTheme="majorHAnsi" w:cstheme="minorHAnsi"/>
                <w:i/>
                <w:szCs w:val="20"/>
              </w:rPr>
              <w:t>Pročišćavanje otpadnih voda</w:t>
            </w:r>
            <w:r w:rsidRPr="00057EA3">
              <w:rPr>
                <w:rFonts w:asciiTheme="majorHAnsi" w:hAnsiTheme="majorHAnsi" w:cstheme="minorHAnsi"/>
                <w:szCs w:val="20"/>
              </w:rPr>
              <w:t xml:space="preserve"> Kigen, Hrvatska, 2009.</w:t>
            </w:r>
          </w:p>
          <w:p w14:paraId="553A9492" w14:textId="77777777" w:rsidR="00057EA3" w:rsidRPr="00057EA3" w:rsidRDefault="00057EA3" w:rsidP="00057EA3">
            <w:pPr>
              <w:pStyle w:val="tabela44"/>
              <w:numPr>
                <w:ilvl w:val="0"/>
                <w:numId w:val="5"/>
              </w:numPr>
              <w:ind w:left="492" w:hanging="283"/>
              <w:jc w:val="both"/>
              <w:rPr>
                <w:rFonts w:asciiTheme="majorHAnsi" w:hAnsiTheme="majorHAnsi" w:cstheme="minorHAnsi"/>
                <w:szCs w:val="20"/>
              </w:rPr>
            </w:pPr>
            <w:r w:rsidRPr="00057EA3">
              <w:rPr>
                <w:rFonts w:asciiTheme="majorHAnsi" w:hAnsiTheme="majorHAnsi" w:cstheme="minorHAnsi"/>
                <w:i/>
                <w:szCs w:val="20"/>
              </w:rPr>
              <w:t>Aqua Designer 8.0 Manual</w:t>
            </w:r>
            <w:r w:rsidRPr="00057EA3">
              <w:rPr>
                <w:rFonts w:asciiTheme="majorHAnsi" w:hAnsiTheme="majorHAnsi" w:cstheme="minorHAnsi"/>
                <w:szCs w:val="20"/>
              </w:rPr>
              <w:t>, 2016, Bit Control, Germany</w:t>
            </w:r>
          </w:p>
          <w:p w14:paraId="43627A9B" w14:textId="77777777" w:rsidR="0086371C" w:rsidRPr="001718D0" w:rsidRDefault="0086371C" w:rsidP="00057EA3">
            <w:pPr>
              <w:pStyle w:val="tabela44"/>
              <w:numPr>
                <w:ilvl w:val="0"/>
                <w:numId w:val="0"/>
              </w:numPr>
              <w:jc w:val="both"/>
              <w:rPr>
                <w:sz w:val="18"/>
                <w:szCs w:val="18"/>
              </w:rPr>
            </w:pPr>
          </w:p>
        </w:tc>
      </w:tr>
    </w:tbl>
    <w:p w14:paraId="7707B4C3" w14:textId="77777777" w:rsidR="0007767A" w:rsidRPr="001718D0" w:rsidRDefault="0007767A">
      <w:pPr>
        <w:rPr>
          <w:lang w:val="hr-HR"/>
        </w:rPr>
      </w:pPr>
    </w:p>
    <w:p w14:paraId="7DAEA26F" w14:textId="77777777" w:rsidR="0007767A" w:rsidRPr="001718D0" w:rsidRDefault="0007767A">
      <w:pPr>
        <w:rPr>
          <w:lang w:val="hr-HR"/>
        </w:rPr>
      </w:pPr>
    </w:p>
    <w:p w14:paraId="2F9A776F" w14:textId="77777777" w:rsidR="0007767A" w:rsidRPr="001718D0" w:rsidRDefault="0007767A">
      <w:pPr>
        <w:rPr>
          <w:lang w:val="hr-HR"/>
        </w:rPr>
      </w:pPr>
    </w:p>
    <w:p w14:paraId="53E4A195" w14:textId="77777777" w:rsidR="0007767A" w:rsidRPr="001718D0" w:rsidRDefault="0007767A">
      <w:pPr>
        <w:rPr>
          <w:lang w:val="hr-HR"/>
        </w:rPr>
      </w:pPr>
    </w:p>
    <w:p w14:paraId="0517BD2E" w14:textId="77777777" w:rsidR="0007767A" w:rsidRPr="001718D0" w:rsidRDefault="0007767A">
      <w:pPr>
        <w:rPr>
          <w:lang w:val="hr-HR"/>
        </w:rPr>
      </w:pPr>
    </w:p>
    <w:p w14:paraId="7AC13E56" w14:textId="77777777" w:rsidR="0007767A" w:rsidRPr="001718D0" w:rsidRDefault="0007767A">
      <w:pPr>
        <w:rPr>
          <w:lang w:val="hr-HR"/>
        </w:rPr>
      </w:pPr>
    </w:p>
    <w:p w14:paraId="62816506" w14:textId="77777777" w:rsidR="0007767A" w:rsidRPr="001718D0" w:rsidRDefault="0007767A">
      <w:pPr>
        <w:rPr>
          <w:lang w:val="hr-HR"/>
        </w:rPr>
      </w:pPr>
    </w:p>
    <w:p w14:paraId="190D73B8" w14:textId="77777777" w:rsidR="0007767A" w:rsidRPr="001718D0" w:rsidRDefault="0007767A">
      <w:pPr>
        <w:rPr>
          <w:lang w:val="hr-HR"/>
        </w:rPr>
      </w:pPr>
    </w:p>
    <w:p w14:paraId="341D19D5" w14:textId="77777777" w:rsidR="0007767A" w:rsidRPr="001718D0" w:rsidRDefault="0007767A">
      <w:pPr>
        <w:rPr>
          <w:lang w:val="hr-HR"/>
        </w:rPr>
      </w:pPr>
    </w:p>
    <w:p w14:paraId="5B74DEDD" w14:textId="77777777" w:rsidR="0007767A" w:rsidRPr="001718D0" w:rsidRDefault="0007767A">
      <w:pPr>
        <w:rPr>
          <w:lang w:val="hr-HR"/>
        </w:rPr>
      </w:pPr>
    </w:p>
    <w:p w14:paraId="2D96A000" w14:textId="77777777" w:rsidR="00A27A18" w:rsidRPr="001718D0" w:rsidRDefault="00A27A18">
      <w:pPr>
        <w:rPr>
          <w:lang w:val="hr-HR"/>
        </w:rPr>
      </w:pPr>
    </w:p>
    <w:p w14:paraId="0684E011" w14:textId="77777777" w:rsidR="00A27A18" w:rsidRPr="001718D0" w:rsidRDefault="00A27A18">
      <w:pPr>
        <w:rPr>
          <w:lang w:val="hr-HR"/>
        </w:rPr>
      </w:pPr>
    </w:p>
    <w:p w14:paraId="3294AB44" w14:textId="77777777" w:rsidR="00A27A18" w:rsidRPr="001718D0" w:rsidRDefault="00A27A18">
      <w:pPr>
        <w:rPr>
          <w:lang w:val="hr-HR"/>
        </w:rPr>
      </w:pPr>
    </w:p>
    <w:sectPr w:rsidR="00A27A18" w:rsidRPr="001718D0" w:rsidSect="00156B78">
      <w:headerReference w:type="default" r:id="rId9"/>
      <w:head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636A1" w14:textId="77777777" w:rsidR="00F4799E" w:rsidRDefault="00F4799E" w:rsidP="00156B78">
      <w:r>
        <w:separator/>
      </w:r>
    </w:p>
  </w:endnote>
  <w:endnote w:type="continuationSeparator" w:id="0">
    <w:p w14:paraId="0B0DF611" w14:textId="77777777" w:rsidR="00F4799E" w:rsidRDefault="00F4799E" w:rsidP="0015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NAHJ+TimesNewRoman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71818" w14:textId="77777777" w:rsidR="00F4799E" w:rsidRDefault="00F4799E" w:rsidP="00156B78">
      <w:r>
        <w:separator/>
      </w:r>
    </w:p>
  </w:footnote>
  <w:footnote w:type="continuationSeparator" w:id="0">
    <w:p w14:paraId="0FC0E423" w14:textId="77777777" w:rsidR="00F4799E" w:rsidRDefault="00F4799E" w:rsidP="00156B78">
      <w:r>
        <w:continuationSeparator/>
      </w:r>
    </w:p>
  </w:footnote>
  <w:footnote w:id="1">
    <w:p w14:paraId="6917D2C5" w14:textId="77777777" w:rsidR="00F07C32" w:rsidRPr="00156B78" w:rsidRDefault="00F07C32" w:rsidP="00156B78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Struktura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bodova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bodovni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kriterij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za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svaki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nastavni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 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predmet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utvrduje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vijece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organizacione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jedinice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prije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pocetka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studijske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godine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u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kojoj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se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izvodi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iz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nastavnog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 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predmeta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u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skladu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clanom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64. st.6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Zakona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o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visokom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obrazovanju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Kantona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Sarajevo</w:t>
      </w:r>
    </w:p>
  </w:footnote>
  <w:footnote w:id="2">
    <w:p w14:paraId="51FDACC7" w14:textId="77777777" w:rsidR="00F07C32" w:rsidRPr="00754C20" w:rsidRDefault="00F07C32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  <w:r>
        <w:rPr>
          <w:rStyle w:val="FootnoteReference"/>
        </w:rPr>
        <w:footnoteRef/>
      </w:r>
      <w:r w:rsidRPr="003C09F1">
        <w:rPr>
          <w:lang w:val="bs-Latn-BA"/>
        </w:rPr>
        <w:t xml:space="preserve"> </w:t>
      </w:r>
      <w:r w:rsidRPr="003C09F1"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  <w:t xml:space="preserve">Senat visokoškolske ustanove kao ustanove odnosno vijece organizacione jedinice visokoškolske ustanove kao javne ustanove, utvrduje obavezne i preporučene udžbenike i priručnike, kao i drugu preporucenu literaturu na osnovu koje se priprema i polaže ispit posebnom odlukom koju obavezno objavljuje na svojoj internet stranici prije početka studijske godine u skladu sa članom 56. st 3. </w:t>
      </w:r>
      <w:r w:rsidRPr="00754C20"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  <w:t>Zakona o visokom obrazovanju Kantona Sarajevo</w:t>
      </w:r>
    </w:p>
    <w:p w14:paraId="0BDA26A3" w14:textId="77777777" w:rsidR="00F07C32" w:rsidRPr="00754C20" w:rsidRDefault="00F07C32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4B08F49C" w14:textId="77777777" w:rsidR="00F07C32" w:rsidRPr="00754C20" w:rsidRDefault="00F07C32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319CE3C2" w14:textId="77777777" w:rsidR="00F07C32" w:rsidRPr="00754C20" w:rsidRDefault="00F07C32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6ADA5035" w14:textId="77777777" w:rsidR="00F07C32" w:rsidRPr="00156B78" w:rsidRDefault="00F07C32" w:rsidP="00156B78">
      <w:pPr>
        <w:pStyle w:val="FootnoteText"/>
        <w:jc w:val="both"/>
        <w:rPr>
          <w:lang w:val="bs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7395"/>
      <w:gridCol w:w="1661"/>
    </w:tblGrid>
    <w:tr w:rsidR="00F07C32" w14:paraId="3F1FAC15" w14:textId="77777777" w:rsidTr="00F07C32">
      <w:trPr>
        <w:cantSplit/>
        <w:trHeight w:val="56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9D053B9" w14:textId="16187DBD" w:rsidR="00F07C32" w:rsidRPr="001F44D8" w:rsidRDefault="00F07C32" w:rsidP="00F07C32">
          <w:pPr>
            <w:jc w:val="center"/>
            <w:rPr>
              <w:rFonts w:ascii="Calibri" w:hAnsi="Calibri" w:cs="Calibri"/>
              <w:b/>
              <w:caps/>
              <w:color w:val="7F7F7F"/>
              <w:sz w:val="16"/>
              <w:lang w:val="de-DE"/>
            </w:rPr>
          </w:pPr>
          <w:r w:rsidRPr="001F44D8">
            <w:rPr>
              <w:rFonts w:ascii="Calibri" w:hAnsi="Calibri" w:cs="Calibri"/>
              <w:b/>
              <w:color w:val="7F7F7F"/>
              <w:lang w:val="de-DE"/>
            </w:rPr>
            <w:t xml:space="preserve">UNIVERZITET U SARAJEVU – </w:t>
          </w:r>
          <w:r w:rsidR="0047507C">
            <w:rPr>
              <w:rFonts w:ascii="Calibri" w:hAnsi="Calibri" w:cs="Calibri"/>
              <w:b/>
              <w:color w:val="7F7F7F"/>
              <w:lang w:val="de-DE"/>
            </w:rPr>
            <w:t>Građevinski fakultet</w:t>
          </w:r>
        </w:p>
        <w:p w14:paraId="0828A2E6" w14:textId="32FC016F" w:rsidR="00F07C32" w:rsidRPr="00ED5C2C" w:rsidRDefault="0047507C" w:rsidP="00156B78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  <w:proofErr w:type="spellStart"/>
          <w:r>
            <w:rPr>
              <w:rFonts w:ascii="Calibri" w:hAnsi="Calibri" w:cs="Calibri"/>
              <w:b/>
              <w:sz w:val="28"/>
              <w:szCs w:val="28"/>
            </w:rPr>
            <w:t>Prerada</w:t>
          </w:r>
          <w:proofErr w:type="spellEnd"/>
          <w:r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28"/>
              <w:szCs w:val="28"/>
            </w:rPr>
            <w:t>otpadnih</w:t>
          </w:r>
          <w:proofErr w:type="spellEnd"/>
          <w:r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28"/>
              <w:szCs w:val="28"/>
            </w:rPr>
            <w:t>voda</w:t>
          </w:r>
          <w:proofErr w:type="spellEnd"/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9FDF7FF" w14:textId="77777777" w:rsidR="00F07C32" w:rsidRPr="00ED5C2C" w:rsidRDefault="00F07C32" w:rsidP="00156B78">
          <w:pPr>
            <w:jc w:val="center"/>
            <w:rPr>
              <w:rFonts w:ascii="Calibri" w:hAnsi="Calibri" w:cs="Calibri"/>
              <w:b/>
              <w:color w:val="4F81BD"/>
            </w:rPr>
          </w:pPr>
          <w:proofErr w:type="spellStart"/>
          <w:r w:rsidRPr="008F449E">
            <w:rPr>
              <w:rFonts w:ascii="Calibri" w:hAnsi="Calibri" w:cs="Calibri"/>
              <w:b/>
              <w:color w:val="4F81BD"/>
              <w:sz w:val="22"/>
            </w:rPr>
            <w:t>Obrazac</w:t>
          </w:r>
          <w:proofErr w:type="spellEnd"/>
          <w:r w:rsidRPr="008F449E">
            <w:rPr>
              <w:rFonts w:ascii="Calibri" w:hAnsi="Calibri" w:cs="Calibri"/>
              <w:b/>
              <w:color w:val="4F81BD"/>
              <w:sz w:val="22"/>
            </w:rPr>
            <w:t xml:space="preserve"> SP</w:t>
          </w:r>
          <w:r>
            <w:rPr>
              <w:rFonts w:ascii="Calibri" w:hAnsi="Calibri" w:cs="Calibri"/>
              <w:b/>
              <w:color w:val="4F81BD"/>
              <w:sz w:val="22"/>
            </w:rPr>
            <w:t>2</w:t>
          </w:r>
        </w:p>
      </w:tc>
    </w:tr>
    <w:tr w:rsidR="00F07C32" w14:paraId="706A4005" w14:textId="77777777" w:rsidTr="00F07C32">
      <w:trPr>
        <w:cantSplit/>
        <w:trHeight w:val="416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196F2E" w14:textId="77777777" w:rsidR="00F07C32" w:rsidRDefault="00F07C32" w:rsidP="00F07C32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B117A" w14:textId="77777777" w:rsidR="00F07C32" w:rsidRPr="00ED5C2C" w:rsidRDefault="00F07C32" w:rsidP="00F07C32">
          <w:pPr>
            <w:pStyle w:val="Footer"/>
            <w:jc w:val="center"/>
            <w:rPr>
              <w:rFonts w:ascii="Calibri" w:hAnsi="Calibri" w:cs="Calibri"/>
            </w:rPr>
          </w:pPr>
          <w:proofErr w:type="spellStart"/>
          <w:r w:rsidRPr="008F449E">
            <w:rPr>
              <w:rFonts w:ascii="Calibri" w:hAnsi="Calibri" w:cs="Calibri"/>
              <w:sz w:val="20"/>
            </w:rPr>
            <w:t>Stranica</w:t>
          </w:r>
          <w:proofErr w:type="spellEnd"/>
          <w:r w:rsidRPr="008F449E">
            <w:rPr>
              <w:rFonts w:ascii="Calibri" w:hAnsi="Calibri" w:cs="Calibri"/>
              <w:sz w:val="20"/>
            </w:rPr>
            <w:t xml:space="preserve">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4F6678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8F449E">
            <w:rPr>
              <w:rFonts w:ascii="Calibri" w:hAnsi="Calibri" w:cs="Calibri"/>
              <w:sz w:val="20"/>
            </w:rPr>
            <w:t xml:space="preserve"> od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4F6678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14:paraId="372703B1" w14:textId="77777777" w:rsidR="00F07C32" w:rsidRDefault="00F07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C8672" w14:textId="77777777" w:rsidR="00F07C32" w:rsidRDefault="00F07C32" w:rsidP="00156B78">
    <w:pPr>
      <w:pStyle w:val="Header"/>
      <w:tabs>
        <w:tab w:val="clear" w:pos="4536"/>
        <w:tab w:val="clear" w:pos="9072"/>
        <w:tab w:val="left" w:pos="1144"/>
      </w:tabs>
    </w:pPr>
    <w:r>
      <w:tab/>
    </w:r>
  </w:p>
  <w:tbl>
    <w:tblPr>
      <w:tblW w:w="4945" w:type="pct"/>
      <w:tblLook w:val="01E0" w:firstRow="1" w:lastRow="1" w:firstColumn="1" w:lastColumn="1" w:noHBand="0" w:noVBand="0"/>
    </w:tblPr>
    <w:tblGrid>
      <w:gridCol w:w="7396"/>
      <w:gridCol w:w="1560"/>
    </w:tblGrid>
    <w:tr w:rsidR="00F07C32" w14:paraId="5CE78179" w14:textId="77777777" w:rsidTr="00156B78">
      <w:trPr>
        <w:cantSplit/>
        <w:trHeight w:val="834"/>
      </w:trPr>
      <w:tc>
        <w:tcPr>
          <w:tcW w:w="412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3AE7DC9" w14:textId="77777777" w:rsidR="00F07C32" w:rsidRPr="001F44D8" w:rsidRDefault="00F07C32" w:rsidP="00F07C32">
          <w:pPr>
            <w:rPr>
              <w:rFonts w:ascii="Calibri" w:hAnsi="Calibri" w:cs="Calibri"/>
              <w:b/>
              <w:color w:val="7F7F7F"/>
              <w:sz w:val="16"/>
              <w:lang w:val="de-DE"/>
            </w:rPr>
          </w:pPr>
          <w:r>
            <w:rPr>
              <w:rFonts w:ascii="Calibri" w:hAnsi="Calibri" w:cs="Calibri"/>
              <w:b/>
              <w:noProof/>
              <w:sz w:val="16"/>
              <w:lang w:val="en-GB" w:eastAsia="en-GB"/>
            </w:rPr>
            <w:drawing>
              <wp:inline distT="0" distB="0" distL="0" distR="0" wp14:anchorId="4943A99C" wp14:editId="43CEA189">
                <wp:extent cx="809625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1" r="380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F44D8">
            <w:rPr>
              <w:rFonts w:ascii="Calibri" w:hAnsi="Calibri" w:cs="Calibri"/>
              <w:b/>
              <w:sz w:val="16"/>
              <w:lang w:val="de-DE"/>
            </w:rPr>
            <w:t xml:space="preserve">                                                                                                                  </w:t>
          </w:r>
          <w:r w:rsidRPr="001F44D8">
            <w:rPr>
              <w:rFonts w:ascii="Calibri" w:hAnsi="Calibri" w:cs="Calibri"/>
              <w:b/>
              <w:color w:val="7F7F7F"/>
              <w:sz w:val="16"/>
              <w:lang w:val="de-DE"/>
            </w:rPr>
            <w:t>Logo fakulteta/akademije</w:t>
          </w:r>
        </w:p>
        <w:p w14:paraId="181C4E9B" w14:textId="77777777" w:rsidR="00F07C32" w:rsidRDefault="00F07C32" w:rsidP="00AC244E">
          <w:pPr>
            <w:jc w:val="center"/>
            <w:rPr>
              <w:rFonts w:ascii="Calibri" w:hAnsi="Calibri" w:cs="Calibri"/>
              <w:b/>
              <w:color w:val="7F7F7F"/>
              <w:lang w:val="de-DE"/>
            </w:rPr>
          </w:pPr>
          <w:r w:rsidRPr="001F44D8">
            <w:rPr>
              <w:rFonts w:ascii="Calibri" w:hAnsi="Calibri" w:cs="Calibri"/>
              <w:b/>
              <w:color w:val="7F7F7F"/>
              <w:lang w:val="de-DE"/>
            </w:rPr>
            <w:t xml:space="preserve">UNIVERZITET U SARAJEVU – </w:t>
          </w:r>
          <w:r>
            <w:rPr>
              <w:rFonts w:ascii="Calibri" w:hAnsi="Calibri" w:cs="Calibri"/>
              <w:b/>
              <w:color w:val="7F7F7F"/>
              <w:lang w:val="de-DE"/>
            </w:rPr>
            <w:t>GRAĐEVINSKI FAKULTET</w:t>
          </w:r>
        </w:p>
        <w:p w14:paraId="110047D5" w14:textId="77777777" w:rsidR="00AB41C8" w:rsidRDefault="00AB41C8" w:rsidP="00AC244E">
          <w:pPr>
            <w:jc w:val="center"/>
            <w:rPr>
              <w:rFonts w:ascii="Calibri" w:hAnsi="Calibri" w:cs="Calibri"/>
              <w:b/>
              <w:color w:val="7F7F7F"/>
              <w:lang w:val="de-DE"/>
            </w:rPr>
          </w:pPr>
          <w:r w:rsidRPr="00CB204A">
            <w:rPr>
              <w:rFonts w:eastAsia="Calibri"/>
              <w:b/>
              <w:bCs/>
              <w:color w:val="000000"/>
              <w:kern w:val="24"/>
              <w:lang w:val="tr-TR" w:eastAsia="hr-BA"/>
            </w:rPr>
            <w:t>PRERADA OTPADNIH VODA</w:t>
          </w:r>
        </w:p>
        <w:p w14:paraId="52D080B5" w14:textId="77777777" w:rsidR="00F07C32" w:rsidRPr="00AC244E" w:rsidRDefault="00F07C32" w:rsidP="00AB41C8">
          <w:pPr>
            <w:jc w:val="center"/>
            <w:rPr>
              <w:rFonts w:ascii="Calibri" w:hAnsi="Calibri" w:cs="Calibri"/>
              <w:b/>
              <w:sz w:val="28"/>
              <w:szCs w:val="28"/>
              <w:lang w:val="de-DE"/>
            </w:rPr>
          </w:pPr>
        </w:p>
      </w:tc>
      <w:tc>
        <w:tcPr>
          <w:tcW w:w="871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3E680CA" w14:textId="77777777" w:rsidR="00F07C32" w:rsidRPr="00ED5C2C" w:rsidRDefault="00F07C32" w:rsidP="00156B78">
          <w:pPr>
            <w:jc w:val="center"/>
            <w:rPr>
              <w:rFonts w:ascii="Calibri" w:hAnsi="Calibri" w:cs="Calibri"/>
              <w:b/>
              <w:color w:val="4F81BD"/>
            </w:rPr>
          </w:pPr>
          <w:proofErr w:type="spellStart"/>
          <w:r w:rsidRPr="008F449E">
            <w:rPr>
              <w:rFonts w:ascii="Calibri" w:hAnsi="Calibri" w:cs="Calibri"/>
              <w:b/>
              <w:color w:val="4F81BD"/>
              <w:sz w:val="22"/>
            </w:rPr>
            <w:t>Obrazac</w:t>
          </w:r>
          <w:proofErr w:type="spellEnd"/>
          <w:r w:rsidRPr="008F449E">
            <w:rPr>
              <w:rFonts w:ascii="Calibri" w:hAnsi="Calibri" w:cs="Calibri"/>
              <w:b/>
              <w:color w:val="4F81BD"/>
              <w:sz w:val="22"/>
            </w:rPr>
            <w:t xml:space="preserve"> SP</w:t>
          </w:r>
          <w:r>
            <w:rPr>
              <w:rFonts w:ascii="Calibri" w:hAnsi="Calibri" w:cs="Calibri"/>
              <w:b/>
              <w:color w:val="4F81BD"/>
              <w:sz w:val="22"/>
            </w:rPr>
            <w:t>2</w:t>
          </w:r>
        </w:p>
      </w:tc>
    </w:tr>
    <w:tr w:rsidR="00F07C32" w14:paraId="65BA7F37" w14:textId="77777777" w:rsidTr="00156B78">
      <w:trPr>
        <w:cantSplit/>
        <w:trHeight w:val="420"/>
      </w:trPr>
      <w:tc>
        <w:tcPr>
          <w:tcW w:w="412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5EF2B9" w14:textId="77777777" w:rsidR="00F07C32" w:rsidRDefault="00F07C32" w:rsidP="00F07C32">
          <w:pPr>
            <w:jc w:val="center"/>
            <w:rPr>
              <w:b/>
            </w:rPr>
          </w:pPr>
        </w:p>
      </w:tc>
      <w:tc>
        <w:tcPr>
          <w:tcW w:w="8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926F09" w14:textId="77777777" w:rsidR="00F07C32" w:rsidRPr="00ED5C2C" w:rsidRDefault="00F07C32" w:rsidP="00F07C32">
          <w:pPr>
            <w:pStyle w:val="Footer"/>
            <w:jc w:val="center"/>
            <w:rPr>
              <w:rFonts w:ascii="Calibri" w:hAnsi="Calibri" w:cs="Calibri"/>
            </w:rPr>
          </w:pPr>
          <w:proofErr w:type="spellStart"/>
          <w:r w:rsidRPr="008F449E">
            <w:rPr>
              <w:rFonts w:ascii="Calibri" w:hAnsi="Calibri" w:cs="Calibri"/>
              <w:sz w:val="20"/>
            </w:rPr>
            <w:t>Stranica</w:t>
          </w:r>
          <w:proofErr w:type="spellEnd"/>
          <w:r w:rsidRPr="008F449E">
            <w:rPr>
              <w:rFonts w:ascii="Calibri" w:hAnsi="Calibri" w:cs="Calibri"/>
              <w:sz w:val="20"/>
            </w:rPr>
            <w:t xml:space="preserve">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4F6678">
            <w:rPr>
              <w:rFonts w:ascii="Calibri" w:hAnsi="Calibri" w:cs="Calibri"/>
              <w:b/>
              <w:bCs/>
              <w:noProof/>
              <w:sz w:val="20"/>
            </w:rPr>
            <w:t>1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8F449E">
            <w:rPr>
              <w:rFonts w:ascii="Calibri" w:hAnsi="Calibri" w:cs="Calibri"/>
              <w:sz w:val="20"/>
            </w:rPr>
            <w:t xml:space="preserve"> od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4F6678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14:paraId="3EAF3DBE" w14:textId="77777777" w:rsidR="00F07C32" w:rsidRDefault="00F07C32" w:rsidP="00156B78">
    <w:pPr>
      <w:pStyle w:val="Header"/>
      <w:tabs>
        <w:tab w:val="clear" w:pos="4536"/>
        <w:tab w:val="clear" w:pos="9072"/>
        <w:tab w:val="left" w:pos="11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1FFD"/>
    <w:multiLevelType w:val="hybridMultilevel"/>
    <w:tmpl w:val="E81278C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A20F2"/>
    <w:multiLevelType w:val="multilevel"/>
    <w:tmpl w:val="5072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E65AE"/>
    <w:multiLevelType w:val="hybridMultilevel"/>
    <w:tmpl w:val="41EC484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0BF0"/>
    <w:multiLevelType w:val="hybridMultilevel"/>
    <w:tmpl w:val="651C5A86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71163438"/>
    <w:multiLevelType w:val="hybridMultilevel"/>
    <w:tmpl w:val="91C22AE2"/>
    <w:lvl w:ilvl="0" w:tplc="FA3A4500">
      <w:start w:val="1"/>
      <w:numFmt w:val="decimal"/>
      <w:pStyle w:val="tabela44"/>
      <w:lvlText w:val="%1."/>
      <w:lvlJc w:val="left"/>
      <w:pPr>
        <w:tabs>
          <w:tab w:val="num" w:pos="480"/>
        </w:tabs>
        <w:ind w:left="477" w:hanging="357"/>
      </w:pPr>
      <w:rPr>
        <w:rFonts w:ascii="Arial" w:hAnsi="Arial" w:hint="default"/>
        <w:b w:val="0"/>
        <w:i w:val="0"/>
        <w:strike w:val="0"/>
        <w:dstrike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263529"/>
    <w:multiLevelType w:val="hybridMultilevel"/>
    <w:tmpl w:val="C07CD802"/>
    <w:lvl w:ilvl="0" w:tplc="CF3CE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NAHJ+TimesNewRoman" w:eastAsia="Times New Roman" w:hAnsi="IBNAHJ+TimesNewRoman" w:cs="IBNAHJ+TimesNew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8620776">
    <w:abstractNumId w:val="5"/>
  </w:num>
  <w:num w:numId="2" w16cid:durableId="799611687">
    <w:abstractNumId w:val="0"/>
  </w:num>
  <w:num w:numId="3" w16cid:durableId="470099860">
    <w:abstractNumId w:val="2"/>
  </w:num>
  <w:num w:numId="4" w16cid:durableId="765686691">
    <w:abstractNumId w:val="4"/>
  </w:num>
  <w:num w:numId="5" w16cid:durableId="496919829">
    <w:abstractNumId w:val="3"/>
  </w:num>
  <w:num w:numId="6" w16cid:durableId="111124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C2"/>
    <w:rsid w:val="00057EA3"/>
    <w:rsid w:val="0007767A"/>
    <w:rsid w:val="000817AE"/>
    <w:rsid w:val="0009306E"/>
    <w:rsid w:val="000C0AF0"/>
    <w:rsid w:val="000F2597"/>
    <w:rsid w:val="00156B78"/>
    <w:rsid w:val="001718D0"/>
    <w:rsid w:val="001F44D8"/>
    <w:rsid w:val="002171D2"/>
    <w:rsid w:val="002175FF"/>
    <w:rsid w:val="00285CE3"/>
    <w:rsid w:val="002C49A7"/>
    <w:rsid w:val="00342B76"/>
    <w:rsid w:val="00356ADB"/>
    <w:rsid w:val="00370C2B"/>
    <w:rsid w:val="003C09F1"/>
    <w:rsid w:val="003E50EF"/>
    <w:rsid w:val="00411059"/>
    <w:rsid w:val="00416D18"/>
    <w:rsid w:val="00435D99"/>
    <w:rsid w:val="0047507C"/>
    <w:rsid w:val="004810EF"/>
    <w:rsid w:val="00483B6A"/>
    <w:rsid w:val="00493BC0"/>
    <w:rsid w:val="004C1C35"/>
    <w:rsid w:val="004E6D2B"/>
    <w:rsid w:val="004F6678"/>
    <w:rsid w:val="00600E84"/>
    <w:rsid w:val="00604AE9"/>
    <w:rsid w:val="00617573"/>
    <w:rsid w:val="0062089C"/>
    <w:rsid w:val="00684A17"/>
    <w:rsid w:val="006C02D8"/>
    <w:rsid w:val="007521F8"/>
    <w:rsid w:val="00754C20"/>
    <w:rsid w:val="0077783B"/>
    <w:rsid w:val="007B19EA"/>
    <w:rsid w:val="007B1E86"/>
    <w:rsid w:val="007F7807"/>
    <w:rsid w:val="0086371C"/>
    <w:rsid w:val="008B1299"/>
    <w:rsid w:val="0091249B"/>
    <w:rsid w:val="00937B68"/>
    <w:rsid w:val="00A27A18"/>
    <w:rsid w:val="00A92F01"/>
    <w:rsid w:val="00AA54FD"/>
    <w:rsid w:val="00AB2362"/>
    <w:rsid w:val="00AB41C8"/>
    <w:rsid w:val="00AC244E"/>
    <w:rsid w:val="00AE382A"/>
    <w:rsid w:val="00B0538A"/>
    <w:rsid w:val="00B16595"/>
    <w:rsid w:val="00B51BE1"/>
    <w:rsid w:val="00CB204A"/>
    <w:rsid w:val="00CC767A"/>
    <w:rsid w:val="00D23179"/>
    <w:rsid w:val="00D33FF7"/>
    <w:rsid w:val="00D850C2"/>
    <w:rsid w:val="00D867D3"/>
    <w:rsid w:val="00DA21AD"/>
    <w:rsid w:val="00DC69DB"/>
    <w:rsid w:val="00DF7D07"/>
    <w:rsid w:val="00E205F4"/>
    <w:rsid w:val="00E22606"/>
    <w:rsid w:val="00E22E7B"/>
    <w:rsid w:val="00E55C5F"/>
    <w:rsid w:val="00E638A1"/>
    <w:rsid w:val="00EA6F37"/>
    <w:rsid w:val="00F00B69"/>
    <w:rsid w:val="00F026E2"/>
    <w:rsid w:val="00F046FE"/>
    <w:rsid w:val="00F07C32"/>
    <w:rsid w:val="00F21089"/>
    <w:rsid w:val="00F4799E"/>
    <w:rsid w:val="00FA2DC3"/>
    <w:rsid w:val="00FA3E69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A7058"/>
  <w14:defaultImageDpi w14:val="300"/>
  <w15:docId w15:val="{1E32D62C-EFDE-4772-BDE0-F57523EC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0AF0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D850C2"/>
    <w:pPr>
      <w:spacing w:after="200" w:line="276" w:lineRule="auto"/>
      <w:ind w:left="720"/>
      <w:contextualSpacing/>
    </w:pPr>
    <w:rPr>
      <w:rFonts w:eastAsia="Cambria"/>
      <w:sz w:val="22"/>
      <w:szCs w:val="22"/>
      <w:lang w:val="hr-BA"/>
    </w:rPr>
  </w:style>
  <w:style w:type="character" w:styleId="CommentReference">
    <w:name w:val="annotation reference"/>
    <w:uiPriority w:val="99"/>
    <w:semiHidden/>
    <w:unhideWhenUsed/>
    <w:rsid w:val="00D850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C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850C2"/>
    <w:rPr>
      <w:b/>
      <w:bCs/>
      <w:sz w:val="20"/>
      <w:szCs w:val="20"/>
    </w:rPr>
  </w:style>
  <w:style w:type="character" w:styleId="Strong">
    <w:name w:val="Strong"/>
    <w:uiPriority w:val="22"/>
    <w:qFormat/>
    <w:rsid w:val="00F026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6B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6B7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B7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56B78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56B78"/>
    <w:rPr>
      <w:vertAlign w:val="superscript"/>
    </w:rPr>
  </w:style>
  <w:style w:type="paragraph" w:customStyle="1" w:styleId="tabela44">
    <w:name w:val="tabela44"/>
    <w:basedOn w:val="Normal"/>
    <w:rsid w:val="001718D0"/>
    <w:pPr>
      <w:numPr>
        <w:numId w:val="4"/>
      </w:numPr>
      <w:spacing w:before="60" w:after="60"/>
    </w:pPr>
    <w:rPr>
      <w:rFonts w:ascii="Tahoma" w:eastAsia="Times New Roman" w:hAnsi="Tahoma"/>
      <w:noProof/>
      <w:sz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05561-A7F6-4917-9AB7-EC79144D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 Serdarevic</dc:creator>
  <cp:lastModifiedBy>Amra Serdarević</cp:lastModifiedBy>
  <cp:revision>2</cp:revision>
  <cp:lastPrinted>2022-10-03T12:09:00Z</cp:lastPrinted>
  <dcterms:created xsi:type="dcterms:W3CDTF">2024-09-09T11:05:00Z</dcterms:created>
  <dcterms:modified xsi:type="dcterms:W3CDTF">2024-09-09T11:05:00Z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f487524c99ad8eb10f9f0c1ea92cba2fb4660f4ac38e556eba752e855118a182</vt:lpwstr>
  </property>
</Properties>
</file>